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77777777"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475932F5" w14:textId="77777777" w:rsidR="00247F40" w:rsidRPr="00FB0EF1" w:rsidRDefault="00247F40" w:rsidP="00247F40">
      <w:pPr>
        <w:spacing w:after="0" w:line="240" w:lineRule="auto"/>
        <w:jc w:val="center"/>
        <w:rPr>
          <w:rFonts w:ascii="Arial" w:eastAsia="Times New Roman" w:hAnsi="Arial" w:cs="Arial"/>
          <w:b/>
          <w:sz w:val="28"/>
          <w:szCs w:val="20"/>
        </w:rPr>
      </w:pPr>
      <w:bookmarkStart w:id="0" w:name="_Hlk879787"/>
      <w:r w:rsidRPr="00FB0EF1">
        <w:rPr>
          <w:rFonts w:ascii="Arial" w:eastAsia="Times New Roman" w:hAnsi="Arial" w:cs="Arial"/>
          <w:b/>
          <w:sz w:val="28"/>
          <w:szCs w:val="20"/>
        </w:rPr>
        <w:t>Miestna akčná skupina HNILEC, o.z</w:t>
      </w:r>
      <w:r w:rsidRPr="00FB0EF1">
        <w:rPr>
          <w:rFonts w:asciiTheme="minorHAnsi" w:hAnsiTheme="minorHAnsi"/>
          <w:b/>
          <w:sz w:val="22"/>
        </w:rPr>
        <w:t>.</w:t>
      </w:r>
    </w:p>
    <w:bookmarkEnd w:id="0"/>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7F18EBBD" w14:textId="5E9E261C" w:rsidR="00247F40" w:rsidRPr="00823618" w:rsidRDefault="00247F40" w:rsidP="00247F40">
      <w:pPr>
        <w:spacing w:after="0" w:line="240" w:lineRule="auto"/>
        <w:jc w:val="center"/>
        <w:rPr>
          <w:rFonts w:ascii="Arial" w:eastAsia="Times New Roman" w:hAnsi="Arial" w:cs="Arial"/>
          <w:i/>
          <w:sz w:val="36"/>
          <w:szCs w:val="36"/>
        </w:rPr>
      </w:pPr>
      <w:bookmarkStart w:id="1" w:name="_Hlk879720"/>
      <w:r>
        <w:rPr>
          <w:rFonts w:ascii="Arial Narrow" w:hAnsi="Arial Narrow"/>
          <w:bCs/>
          <w:sz w:val="36"/>
          <w:szCs w:val="36"/>
        </w:rPr>
        <w:t xml:space="preserve">Kód výzvy: </w:t>
      </w:r>
      <w:bookmarkStart w:id="2" w:name="_Hlk967081"/>
      <w:r w:rsidRPr="00823618">
        <w:rPr>
          <w:rFonts w:ascii="Arial Narrow" w:hAnsi="Arial Narrow"/>
          <w:bCs/>
          <w:sz w:val="36"/>
          <w:szCs w:val="36"/>
        </w:rPr>
        <w:t>IROP-CLLD-P813-51</w:t>
      </w:r>
      <w:r>
        <w:rPr>
          <w:rFonts w:ascii="Arial Narrow" w:hAnsi="Arial Narrow"/>
          <w:bCs/>
          <w:sz w:val="36"/>
          <w:szCs w:val="36"/>
        </w:rPr>
        <w:t>1</w:t>
      </w:r>
      <w:r w:rsidRPr="00823618">
        <w:rPr>
          <w:rFonts w:ascii="Arial Narrow" w:hAnsi="Arial Narrow"/>
          <w:bCs/>
          <w:sz w:val="36"/>
          <w:szCs w:val="36"/>
        </w:rPr>
        <w:t>-00</w:t>
      </w:r>
      <w:bookmarkEnd w:id="2"/>
      <w:r>
        <w:rPr>
          <w:rFonts w:ascii="Arial Narrow" w:hAnsi="Arial Narrow"/>
          <w:bCs/>
          <w:sz w:val="36"/>
          <w:szCs w:val="36"/>
        </w:rPr>
        <w:t>3</w:t>
      </w:r>
    </w:p>
    <w:bookmarkEnd w:id="1"/>
    <w:p w14:paraId="7A18BC0D" w14:textId="77777777" w:rsidR="00247F40" w:rsidRPr="00997F82" w:rsidRDefault="00247F40" w:rsidP="00247F40">
      <w:pPr>
        <w:spacing w:after="0" w:line="240" w:lineRule="auto"/>
        <w:jc w:val="center"/>
        <w:rPr>
          <w:rFonts w:ascii="Arial" w:eastAsia="Times New Roman" w:hAnsi="Arial" w:cs="Arial"/>
          <w:color w:val="002060"/>
          <w:sz w:val="28"/>
          <w:szCs w:val="20"/>
        </w:rPr>
      </w:pPr>
    </w:p>
    <w:p w14:paraId="6BD1E6A3" w14:textId="77777777" w:rsidR="00997F82" w:rsidRPr="00CE7126" w:rsidRDefault="00997F82" w:rsidP="00997F82">
      <w:pPr>
        <w:rPr>
          <w:rFonts w:ascii="Arial" w:eastAsia="Times New Roman" w:hAnsi="Arial" w:cs="Arial"/>
          <w:sz w:val="22"/>
        </w:rPr>
      </w:pPr>
    </w:p>
    <w:p w14:paraId="266737C6" w14:textId="0753E07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247F40">
            <w:rPr>
              <w:rFonts w:ascii="Arial" w:hAnsi="Arial" w:cs="Arial"/>
              <w:sz w:val="22"/>
            </w:rPr>
            <w:t>A1 Podpora podnikania a inovácií</w:t>
          </w:r>
        </w:sdtContent>
      </w:sdt>
    </w:p>
    <w:p w14:paraId="60D37D52" w14:textId="49A1C553"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247F40">
            <w:rPr>
              <w:rFonts w:ascii="Arial" w:hAnsi="Arial" w:cs="Arial"/>
              <w:b/>
              <w:sz w:val="22"/>
            </w:rPr>
            <w:t>Schéma minimálnej pomoci na podporu mikro a malých podnikov (ďalej len "schéma pomoci")</w:t>
          </w:r>
        </w:sdtContent>
      </w:sdt>
    </w:p>
    <w:p w14:paraId="285BD68A" w14:textId="77777777" w:rsidR="00D835D8" w:rsidRDefault="00D835D8" w:rsidP="00DD3EE2">
      <w:pPr>
        <w:spacing w:before="120" w:after="120" w:line="240" w:lineRule="auto"/>
        <w:jc w:val="both"/>
        <w:outlineLvl w:val="0"/>
        <w:rPr>
          <w:rFonts w:ascii="Arial" w:hAnsi="Arial" w:cs="Arial"/>
          <w:b/>
          <w:sz w:val="22"/>
        </w:rPr>
      </w:pPr>
    </w:p>
    <w:p w14:paraId="128CAC4B" w14:textId="77777777" w:rsidR="00D835D8" w:rsidRDefault="00D835D8" w:rsidP="00DD3EE2">
      <w:pPr>
        <w:spacing w:before="120" w:after="120" w:line="240" w:lineRule="auto"/>
        <w:jc w:val="both"/>
        <w:outlineLvl w:val="0"/>
        <w:rPr>
          <w:rFonts w:ascii="Arial" w:hAnsi="Arial" w:cs="Arial"/>
          <w:b/>
          <w:sz w:val="22"/>
        </w:rPr>
      </w:pPr>
    </w:p>
    <w:p w14:paraId="34F0448D" w14:textId="664224DA"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4215987B" w:rsidR="00997F82" w:rsidRDefault="00745DF0" w:rsidP="00016DEA">
            <w:pPr>
              <w:spacing w:before="60" w:after="60" w:line="240" w:lineRule="auto"/>
              <w:jc w:val="center"/>
              <w:outlineLvl w:val="0"/>
              <w:rPr>
                <w:rFonts w:ascii="Arial" w:hAnsi="Arial" w:cs="Arial"/>
                <w:sz w:val="20"/>
                <w:szCs w:val="20"/>
              </w:rPr>
            </w:pPr>
            <w:r>
              <w:rPr>
                <w:rFonts w:ascii="Arial" w:hAnsi="Arial" w:cs="Arial"/>
                <w:sz w:val="20"/>
                <w:szCs w:val="20"/>
              </w:rPr>
              <w:t>19</w:t>
            </w:r>
            <w:r w:rsidR="00C64944">
              <w:rPr>
                <w:rFonts w:ascii="Arial" w:hAnsi="Arial" w:cs="Arial"/>
                <w:sz w:val="20"/>
                <w:szCs w:val="20"/>
              </w:rPr>
              <w:t>.</w:t>
            </w:r>
            <w:r w:rsidR="00D835D8">
              <w:rPr>
                <w:rFonts w:ascii="Arial" w:hAnsi="Arial" w:cs="Arial"/>
                <w:sz w:val="20"/>
                <w:szCs w:val="20"/>
              </w:rPr>
              <w:t>0</w:t>
            </w:r>
            <w:r w:rsidR="00BE57E3">
              <w:rPr>
                <w:rFonts w:ascii="Arial" w:hAnsi="Arial" w:cs="Arial"/>
                <w:sz w:val="20"/>
                <w:szCs w:val="20"/>
              </w:rPr>
              <w:t>3</w:t>
            </w:r>
            <w:r w:rsidR="00C64944">
              <w:rPr>
                <w:rFonts w:ascii="Arial" w:hAnsi="Arial" w:cs="Arial"/>
                <w:sz w:val="20"/>
                <w:szCs w:val="20"/>
              </w:rPr>
              <w:t>.20</w:t>
            </w:r>
            <w:r w:rsidR="00D835D8">
              <w:rPr>
                <w:rFonts w:ascii="Arial" w:hAnsi="Arial" w:cs="Arial"/>
                <w:sz w:val="20"/>
                <w:szCs w:val="20"/>
              </w:rPr>
              <w:t>2</w:t>
            </w:r>
            <w:r w:rsidR="00642032">
              <w:rPr>
                <w:rFonts w:ascii="Arial" w:hAnsi="Arial" w:cs="Arial"/>
                <w:sz w:val="20"/>
                <w:szCs w:val="20"/>
              </w:rPr>
              <w:t>3</w:t>
            </w:r>
          </w:p>
        </w:tc>
        <w:tc>
          <w:tcPr>
            <w:tcW w:w="3070" w:type="dxa"/>
            <w:vAlign w:val="center"/>
          </w:tcPr>
          <w:p w14:paraId="7FB5A443" w14:textId="101487E0" w:rsidR="00997F82" w:rsidRDefault="00745DF0" w:rsidP="00016DEA">
            <w:pPr>
              <w:spacing w:before="60" w:after="60" w:line="240" w:lineRule="auto"/>
              <w:jc w:val="center"/>
              <w:outlineLvl w:val="0"/>
              <w:rPr>
                <w:rFonts w:ascii="Arial" w:hAnsi="Arial" w:cs="Arial"/>
                <w:sz w:val="20"/>
                <w:szCs w:val="20"/>
              </w:rPr>
            </w:pPr>
            <w:r>
              <w:rPr>
                <w:rFonts w:ascii="Arial" w:hAnsi="Arial" w:cs="Arial"/>
                <w:sz w:val="20"/>
                <w:szCs w:val="20"/>
              </w:rPr>
              <w:t>19</w:t>
            </w:r>
            <w:r w:rsidR="00C64944">
              <w:rPr>
                <w:rFonts w:ascii="Arial" w:hAnsi="Arial" w:cs="Arial"/>
                <w:sz w:val="20"/>
                <w:szCs w:val="20"/>
              </w:rPr>
              <w:t>.</w:t>
            </w:r>
            <w:r w:rsidR="00BE57E3">
              <w:rPr>
                <w:rFonts w:ascii="Arial" w:hAnsi="Arial" w:cs="Arial"/>
                <w:sz w:val="20"/>
                <w:szCs w:val="20"/>
              </w:rPr>
              <w:t>0</w:t>
            </w:r>
            <w:r w:rsidR="00642032">
              <w:rPr>
                <w:rFonts w:ascii="Arial" w:hAnsi="Arial" w:cs="Arial"/>
                <w:sz w:val="20"/>
                <w:szCs w:val="20"/>
              </w:rPr>
              <w:t>4.2023</w:t>
            </w:r>
          </w:p>
        </w:tc>
        <w:tc>
          <w:tcPr>
            <w:tcW w:w="3494" w:type="dxa"/>
          </w:tcPr>
          <w:p w14:paraId="766B9373" w14:textId="17AF7035"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642032">
              <w:rPr>
                <w:rFonts w:ascii="Arial" w:hAnsi="Arial" w:cs="Arial"/>
                <w:sz w:val="20"/>
                <w:szCs w:val="20"/>
              </w:rPr>
              <w:t>1</w:t>
            </w:r>
            <w:r>
              <w:rPr>
                <w:rFonts w:ascii="Arial" w:hAnsi="Arial" w:cs="Arial"/>
                <w:sz w:val="20"/>
                <w:szCs w:val="20"/>
              </w:rPr>
              <w:t xml:space="preserve"> mesiac od predchádzajúceho hodnotiaceho kola a to vždy k </w:t>
            </w:r>
            <w:r w:rsidR="00745DF0">
              <w:rPr>
                <w:rFonts w:ascii="Arial" w:hAnsi="Arial" w:cs="Arial"/>
                <w:sz w:val="20"/>
                <w:szCs w:val="20"/>
              </w:rPr>
              <w:t>19</w:t>
            </w:r>
            <w:r>
              <w:rPr>
                <w:rFonts w:ascii="Arial" w:hAnsi="Arial" w:cs="Arial"/>
                <w:sz w:val="20"/>
                <w:szCs w:val="20"/>
              </w:rPr>
              <w:t>. dňu príslušného mesiaca.</w:t>
            </w:r>
          </w:p>
        </w:tc>
      </w:tr>
    </w:tbl>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10351" w:type="dxa"/>
        <w:tblInd w:w="-34" w:type="dxa"/>
        <w:shd w:val="clear" w:color="auto" w:fill="9CC2E5" w:themeFill="accent1" w:themeFillTint="99"/>
        <w:tblLook w:val="04A0" w:firstRow="1" w:lastRow="0" w:firstColumn="1" w:lastColumn="0" w:noHBand="0" w:noVBand="1"/>
      </w:tblPr>
      <w:tblGrid>
        <w:gridCol w:w="10351"/>
      </w:tblGrid>
      <w:tr w:rsidR="00997F82" w:rsidRPr="002A4B73" w14:paraId="1BE28825" w14:textId="77777777" w:rsidTr="00F10680">
        <w:tc>
          <w:tcPr>
            <w:tcW w:w="10351"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r w:rsidR="00997F82" w:rsidRPr="00291D70" w14:paraId="3F6C417D" w14:textId="77777777" w:rsidTr="00F10680">
        <w:tblPrEx>
          <w:shd w:val="clear" w:color="auto" w:fill="auto"/>
          <w:tblCellMar>
            <w:left w:w="57" w:type="dxa"/>
            <w:right w:w="57" w:type="dxa"/>
          </w:tblCellMar>
        </w:tblPrEx>
        <w:trPr>
          <w:trHeight w:val="287"/>
        </w:trPr>
        <w:tc>
          <w:tcPr>
            <w:tcW w:w="10351"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F10680">
        <w:tblPrEx>
          <w:shd w:val="clear" w:color="auto" w:fill="auto"/>
          <w:tblCellMar>
            <w:left w:w="57" w:type="dxa"/>
            <w:right w:w="57" w:type="dxa"/>
          </w:tblCellMar>
        </w:tblPrEx>
        <w:tc>
          <w:tcPr>
            <w:tcW w:w="10351"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14:paraId="4D223203" w14:textId="77777777" w:rsidR="00997F82" w:rsidRPr="00493EDA" w:rsidRDefault="00997F82" w:rsidP="00EB65C0">
            <w:pPr>
              <w:pStyle w:val="Odsekzoznamu"/>
              <w:widowControl w:val="0"/>
              <w:numPr>
                <w:ilvl w:val="0"/>
                <w:numId w:val="11"/>
              </w:numPr>
              <w:spacing w:before="60" w:after="60" w:line="240" w:lineRule="auto"/>
              <w:jc w:val="both"/>
              <w:rPr>
                <w:rFonts w:ascii="Arial" w:hAnsi="Arial" w:cs="Arial"/>
                <w:b/>
                <w:color w:val="FF0000"/>
                <w:sz w:val="20"/>
                <w:szCs w:val="20"/>
              </w:rPr>
            </w:pPr>
            <w:r w:rsidRPr="00493EDA">
              <w:rPr>
                <w:rFonts w:ascii="Arial" w:hAnsi="Arial" w:cs="Arial"/>
                <w:b/>
                <w:color w:val="FF0000"/>
                <w:sz w:val="20"/>
                <w:szCs w:val="20"/>
              </w:rPr>
              <w:t>osoby zapísané v obchodnom registri,</w:t>
            </w:r>
          </w:p>
          <w:p w14:paraId="33E57A14" w14:textId="77777777" w:rsidR="00997F82" w:rsidRPr="00493EDA" w:rsidRDefault="00997F82" w:rsidP="001C2252">
            <w:pPr>
              <w:pStyle w:val="Odsekzoznamu"/>
              <w:widowControl w:val="0"/>
              <w:numPr>
                <w:ilvl w:val="0"/>
                <w:numId w:val="11"/>
              </w:numPr>
              <w:spacing w:before="60" w:after="60" w:line="240" w:lineRule="auto"/>
              <w:jc w:val="both"/>
              <w:rPr>
                <w:rFonts w:ascii="Arial" w:hAnsi="Arial" w:cs="Arial"/>
                <w:b/>
                <w:color w:val="FF0000"/>
                <w:sz w:val="20"/>
                <w:szCs w:val="20"/>
              </w:rPr>
            </w:pPr>
            <w:r w:rsidRPr="00493EDA">
              <w:rPr>
                <w:rFonts w:ascii="Arial" w:hAnsi="Arial" w:cs="Arial"/>
                <w:b/>
                <w:color w:val="FF0000"/>
                <w:sz w:val="20"/>
                <w:szCs w:val="20"/>
              </w:rPr>
              <w:t>osoby, ktoré podnikajú na základe živnostenského oprávnenia.</w:t>
            </w:r>
          </w:p>
          <w:p w14:paraId="345D8804" w14:textId="4BF333D3"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14:paraId="058914B4" w14:textId="04CFD651"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2B32AF41"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p>
          <w:p w14:paraId="369F3429" w14:textId="3858C264"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lastRenderedPageBreak/>
              <w:t xml:space="preserve">V prípade zákazu pôsobenia v oblasti poľnohospodárskej prvovýroby - </w:t>
            </w:r>
            <w:r w:rsidRPr="00A05B6B">
              <w:rPr>
                <w:rFonts w:ascii="Arial" w:hAnsi="Arial" w:cs="Arial"/>
                <w:bCs/>
                <w:sz w:val="20"/>
                <w:szCs w:val="20"/>
              </w:rPr>
              <w:t xml:space="preserve">Čestné vyhlásenie v </w:t>
            </w:r>
            <w:r>
              <w:rPr>
                <w:rFonts w:ascii="Arial" w:hAnsi="Arial" w:cs="Arial"/>
                <w:bCs/>
                <w:sz w:val="20"/>
                <w:szCs w:val="20"/>
              </w:rPr>
              <w:t>ŽoPr</w:t>
            </w:r>
            <w:r w:rsidRPr="00A05B6B">
              <w:rPr>
                <w:rFonts w:ascii="Arial" w:hAnsi="Arial" w:cs="Arial"/>
                <w:bCs/>
                <w:sz w:val="20"/>
                <w:szCs w:val="20"/>
              </w:rPr>
              <w:t>.</w:t>
            </w:r>
          </w:p>
          <w:p w14:paraId="0CA77EA7" w14:textId="7957C14A"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Oprávnenými žiadateľmi v rámci tejto výzvy sú mikro a malé podniky.</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4DE985FE" w14:textId="12C63B31" w:rsidR="00997F82" w:rsidRDefault="00997F82" w:rsidP="00364BAA">
            <w:pPr>
              <w:pStyle w:val="Odsekzoznamu"/>
              <w:widowControl w:val="0"/>
              <w:numPr>
                <w:ilvl w:val="0"/>
                <w:numId w:val="70"/>
              </w:numPr>
              <w:spacing w:before="60" w:after="60" w:line="240" w:lineRule="auto"/>
              <w:ind w:right="85"/>
              <w:contextualSpacing w:val="0"/>
              <w:jc w:val="both"/>
              <w:rPr>
                <w:rFonts w:ascii="Arial" w:hAnsi="Arial" w:cs="Arial"/>
                <w:b/>
                <w:color w:val="FF0000"/>
                <w:sz w:val="20"/>
                <w:szCs w:val="20"/>
              </w:rPr>
            </w:pPr>
            <w:r w:rsidRPr="00493EDA">
              <w:rPr>
                <w:rFonts w:ascii="Arial" w:hAnsi="Arial" w:cs="Arial"/>
                <w:b/>
                <w:color w:val="FF0000"/>
                <w:sz w:val="20"/>
                <w:szCs w:val="20"/>
              </w:rPr>
              <w:t>príloha ŽoPr - Vyhlásenie o veľkosti podniku</w:t>
            </w:r>
          </w:p>
          <w:p w14:paraId="5BF4C441" w14:textId="77777777" w:rsidR="00364BAA" w:rsidRDefault="00364BAA" w:rsidP="00364BAA">
            <w:pPr>
              <w:widowControl w:val="0"/>
              <w:spacing w:before="60" w:after="60" w:line="240" w:lineRule="auto"/>
              <w:ind w:right="85"/>
              <w:jc w:val="both"/>
              <w:rPr>
                <w:rFonts w:ascii="Arial" w:hAnsi="Arial" w:cs="Arial"/>
                <w:b/>
                <w:color w:val="FF0000"/>
                <w:sz w:val="20"/>
                <w:szCs w:val="20"/>
              </w:rPr>
            </w:pPr>
          </w:p>
          <w:p w14:paraId="4DF6AEF0" w14:textId="77777777" w:rsidR="00364BAA" w:rsidRPr="00364BAA" w:rsidRDefault="00364BAA" w:rsidP="00364BAA">
            <w:pPr>
              <w:spacing w:after="0" w:line="240" w:lineRule="auto"/>
              <w:jc w:val="both"/>
              <w:rPr>
                <w:rFonts w:ascii="Arial" w:eastAsia="Times New Roman" w:hAnsi="Arial" w:cs="Arial"/>
                <w:b/>
                <w:bCs/>
                <w:i/>
                <w:iCs/>
                <w:sz w:val="20"/>
                <w:szCs w:val="16"/>
                <w:u w:val="single"/>
              </w:rPr>
            </w:pPr>
            <w:r w:rsidRPr="00364BAA">
              <w:rPr>
                <w:rFonts w:ascii="Arial" w:eastAsia="Times New Roman" w:hAnsi="Arial" w:cs="Arial"/>
                <w:b/>
                <w:bCs/>
                <w:i/>
                <w:iCs/>
                <w:sz w:val="20"/>
                <w:szCs w:val="16"/>
                <w:u w:val="single"/>
              </w:rPr>
              <w:t xml:space="preserve">Vylúčené SK NACE z podpory: </w:t>
            </w:r>
          </w:p>
          <w:p w14:paraId="0BA21005" w14:textId="77777777" w:rsidR="00364BAA" w:rsidRPr="00364BAA" w:rsidRDefault="00364BAA" w:rsidP="00364BAA">
            <w:pPr>
              <w:spacing w:after="0" w:line="240" w:lineRule="auto"/>
              <w:jc w:val="both"/>
              <w:rPr>
                <w:rFonts w:ascii="Arial" w:eastAsia="Times New Roman" w:hAnsi="Arial" w:cs="Arial"/>
                <w:sz w:val="20"/>
                <w:szCs w:val="16"/>
              </w:rPr>
            </w:pPr>
            <w:r w:rsidRPr="00364BAA">
              <w:rPr>
                <w:rFonts w:ascii="Arial" w:eastAsia="Times New Roman" w:hAnsi="Arial" w:cs="Arial"/>
                <w:sz w:val="20"/>
                <w:szCs w:val="16"/>
              </w:rPr>
              <w:t>Sekcia A – Poľnohospodárstvo, lesníctvo a rybolov – celá sekcia neoprávnená</w:t>
            </w:r>
          </w:p>
          <w:p w14:paraId="634D59B2" w14:textId="77777777" w:rsidR="00364BAA" w:rsidRPr="00364BAA" w:rsidRDefault="00364BAA" w:rsidP="00364BAA">
            <w:pPr>
              <w:spacing w:after="0" w:line="240" w:lineRule="auto"/>
              <w:jc w:val="both"/>
              <w:rPr>
                <w:rFonts w:ascii="Arial" w:eastAsia="Times New Roman" w:hAnsi="Arial" w:cs="Arial"/>
                <w:sz w:val="20"/>
                <w:szCs w:val="16"/>
              </w:rPr>
            </w:pPr>
            <w:r w:rsidRPr="00364BAA">
              <w:rPr>
                <w:rFonts w:ascii="Arial" w:eastAsia="Times New Roman" w:hAnsi="Arial" w:cs="Arial"/>
                <w:sz w:val="20"/>
                <w:szCs w:val="16"/>
              </w:rPr>
              <w:t>Sekcia B – Ťažba a dobývanie – neoprávnené sú nasledovné divízie</w:t>
            </w:r>
          </w:p>
          <w:p w14:paraId="2976DF40" w14:textId="77777777" w:rsidR="00364BAA" w:rsidRPr="00364BAA" w:rsidRDefault="00364BAA" w:rsidP="00364BAA">
            <w:pPr>
              <w:spacing w:after="0" w:line="240" w:lineRule="auto"/>
              <w:ind w:firstLine="708"/>
              <w:jc w:val="both"/>
              <w:rPr>
                <w:rFonts w:ascii="Arial" w:eastAsia="Times New Roman" w:hAnsi="Arial" w:cs="Arial"/>
                <w:sz w:val="20"/>
                <w:szCs w:val="16"/>
              </w:rPr>
            </w:pPr>
            <w:r w:rsidRPr="00364BAA">
              <w:rPr>
                <w:rFonts w:ascii="Arial" w:eastAsia="Times New Roman" w:hAnsi="Arial" w:cs="Arial"/>
                <w:sz w:val="20"/>
                <w:szCs w:val="16"/>
              </w:rPr>
              <w:t>Divízia 05 – Ťažba uhlia a lignitu</w:t>
            </w:r>
          </w:p>
          <w:p w14:paraId="505F6F11" w14:textId="77777777" w:rsidR="00364BAA" w:rsidRPr="00364BAA" w:rsidRDefault="00364BAA" w:rsidP="00364BAA">
            <w:pPr>
              <w:spacing w:after="0" w:line="240" w:lineRule="auto"/>
              <w:ind w:firstLine="708"/>
              <w:jc w:val="both"/>
              <w:rPr>
                <w:rFonts w:ascii="Arial" w:eastAsia="Times New Roman" w:hAnsi="Arial" w:cs="Arial"/>
                <w:sz w:val="20"/>
                <w:szCs w:val="16"/>
              </w:rPr>
            </w:pPr>
            <w:r w:rsidRPr="00364BAA">
              <w:rPr>
                <w:rFonts w:ascii="Arial" w:eastAsia="Times New Roman" w:hAnsi="Arial" w:cs="Arial"/>
                <w:sz w:val="20"/>
                <w:szCs w:val="16"/>
              </w:rPr>
              <w:t>Divízia 06 – Ťažba ropy a zemného plynu</w:t>
            </w:r>
          </w:p>
          <w:p w14:paraId="7834D0B0" w14:textId="77777777" w:rsidR="00364BAA" w:rsidRPr="00364BAA" w:rsidRDefault="00364BAA" w:rsidP="00364BAA">
            <w:pPr>
              <w:spacing w:after="0" w:line="240" w:lineRule="auto"/>
              <w:ind w:firstLine="708"/>
              <w:jc w:val="both"/>
              <w:rPr>
                <w:rFonts w:ascii="Arial" w:eastAsia="Times New Roman" w:hAnsi="Arial" w:cs="Arial"/>
                <w:sz w:val="20"/>
                <w:szCs w:val="16"/>
              </w:rPr>
            </w:pPr>
            <w:r w:rsidRPr="00364BAA">
              <w:rPr>
                <w:rFonts w:ascii="Arial" w:eastAsia="Times New Roman" w:hAnsi="Arial" w:cs="Arial"/>
                <w:sz w:val="20"/>
                <w:szCs w:val="16"/>
              </w:rPr>
              <w:t>Divízia 07 – Dobývanie kovových rúd</w:t>
            </w:r>
          </w:p>
          <w:p w14:paraId="1D36F743" w14:textId="77777777" w:rsidR="00364BAA" w:rsidRPr="00364BAA" w:rsidRDefault="00364BAA" w:rsidP="00364BAA">
            <w:pPr>
              <w:spacing w:after="0" w:line="240" w:lineRule="auto"/>
              <w:jc w:val="both"/>
              <w:rPr>
                <w:rFonts w:ascii="Arial" w:eastAsia="Times New Roman" w:hAnsi="Arial" w:cs="Arial"/>
                <w:sz w:val="20"/>
                <w:szCs w:val="16"/>
              </w:rPr>
            </w:pPr>
            <w:r w:rsidRPr="00364BAA">
              <w:rPr>
                <w:rFonts w:ascii="Arial" w:eastAsia="Times New Roman" w:hAnsi="Arial" w:cs="Arial"/>
                <w:sz w:val="20"/>
                <w:szCs w:val="16"/>
              </w:rPr>
              <w:t>Sekcia C – Priemyselná výroba – neoprávnené sú nasledovné divízie</w:t>
            </w:r>
          </w:p>
          <w:p w14:paraId="60B87A9D" w14:textId="77777777" w:rsidR="00364BAA" w:rsidRPr="00364BAA" w:rsidRDefault="00364BAA" w:rsidP="00364BAA">
            <w:pPr>
              <w:spacing w:after="0" w:line="240" w:lineRule="auto"/>
              <w:ind w:firstLine="708"/>
              <w:jc w:val="both"/>
              <w:rPr>
                <w:rFonts w:ascii="Arial" w:eastAsia="Times New Roman" w:hAnsi="Arial" w:cs="Arial"/>
                <w:sz w:val="20"/>
                <w:szCs w:val="16"/>
              </w:rPr>
            </w:pPr>
            <w:r w:rsidRPr="00364BAA">
              <w:rPr>
                <w:rFonts w:ascii="Arial" w:eastAsia="Times New Roman" w:hAnsi="Arial" w:cs="Arial"/>
                <w:sz w:val="20"/>
                <w:szCs w:val="16"/>
              </w:rPr>
              <w:t>Divízia 12 – Výroba tabakových výrobkov</w:t>
            </w:r>
          </w:p>
          <w:p w14:paraId="2044B87F" w14:textId="77777777" w:rsidR="00364BAA" w:rsidRPr="00364BAA" w:rsidRDefault="00364BAA" w:rsidP="00364BAA">
            <w:pPr>
              <w:spacing w:after="0" w:line="240" w:lineRule="auto"/>
              <w:ind w:firstLine="708"/>
              <w:jc w:val="both"/>
              <w:rPr>
                <w:rFonts w:ascii="Arial" w:eastAsia="Times New Roman" w:hAnsi="Arial" w:cs="Arial"/>
                <w:sz w:val="20"/>
                <w:szCs w:val="16"/>
              </w:rPr>
            </w:pPr>
            <w:r w:rsidRPr="00364BAA">
              <w:rPr>
                <w:rFonts w:ascii="Arial" w:eastAsia="Times New Roman" w:hAnsi="Arial" w:cs="Arial"/>
                <w:sz w:val="20"/>
                <w:szCs w:val="16"/>
              </w:rPr>
              <w:t>Divízia 19 – Výroba koksu a rafinovaných ropných produktov</w:t>
            </w:r>
          </w:p>
          <w:p w14:paraId="0766A35A" w14:textId="77777777" w:rsidR="00364BAA" w:rsidRPr="00364BAA" w:rsidRDefault="00364BAA" w:rsidP="00364BAA">
            <w:pPr>
              <w:spacing w:after="0" w:line="240" w:lineRule="auto"/>
              <w:jc w:val="both"/>
              <w:rPr>
                <w:rFonts w:ascii="Arial" w:eastAsia="Times New Roman" w:hAnsi="Arial" w:cs="Arial"/>
                <w:sz w:val="20"/>
                <w:szCs w:val="16"/>
              </w:rPr>
            </w:pPr>
            <w:r w:rsidRPr="00364BAA">
              <w:rPr>
                <w:rFonts w:ascii="Arial" w:eastAsia="Times New Roman" w:hAnsi="Arial" w:cs="Arial"/>
                <w:sz w:val="20"/>
                <w:szCs w:val="16"/>
              </w:rPr>
              <w:t xml:space="preserve"> </w:t>
            </w:r>
          </w:p>
          <w:p w14:paraId="0795648D" w14:textId="77777777" w:rsidR="00364BAA" w:rsidRPr="00364BAA" w:rsidRDefault="00364BAA" w:rsidP="00364BAA">
            <w:pPr>
              <w:spacing w:after="0" w:line="240" w:lineRule="auto"/>
              <w:jc w:val="both"/>
              <w:rPr>
                <w:rFonts w:ascii="Arial" w:eastAsia="Times New Roman" w:hAnsi="Arial" w:cs="Arial"/>
                <w:sz w:val="20"/>
                <w:szCs w:val="16"/>
              </w:rPr>
            </w:pPr>
            <w:r w:rsidRPr="00364BAA">
              <w:rPr>
                <w:rFonts w:ascii="Arial" w:eastAsia="Times New Roman" w:hAnsi="Arial" w:cs="Arial"/>
                <w:sz w:val="20"/>
                <w:szCs w:val="16"/>
              </w:rPr>
              <w:t>Sekcia D – Dodávka elektriny, plynu, pary a studeného vzduchu – celá sekcia neoprávnená</w:t>
            </w:r>
          </w:p>
          <w:p w14:paraId="093F3930" w14:textId="77777777" w:rsidR="00364BAA" w:rsidRPr="00364BAA" w:rsidRDefault="00364BAA" w:rsidP="00364BAA">
            <w:pPr>
              <w:spacing w:after="0" w:line="240" w:lineRule="auto"/>
              <w:jc w:val="both"/>
              <w:rPr>
                <w:rFonts w:ascii="Arial" w:eastAsia="Times New Roman" w:hAnsi="Arial" w:cs="Arial"/>
                <w:sz w:val="20"/>
                <w:szCs w:val="16"/>
              </w:rPr>
            </w:pPr>
            <w:r w:rsidRPr="00364BAA">
              <w:rPr>
                <w:rFonts w:ascii="Arial" w:eastAsia="Times New Roman" w:hAnsi="Arial" w:cs="Arial"/>
                <w:sz w:val="20"/>
                <w:szCs w:val="16"/>
              </w:rPr>
              <w:t>Sekcia K – Finančné a poisťovacie činnosti – celá sekcia neoprávnená</w:t>
            </w:r>
          </w:p>
          <w:p w14:paraId="5981903F" w14:textId="77777777" w:rsidR="00364BAA" w:rsidRPr="00364BAA" w:rsidRDefault="00364BAA" w:rsidP="00364BAA">
            <w:pPr>
              <w:spacing w:after="0" w:line="240" w:lineRule="auto"/>
              <w:jc w:val="both"/>
              <w:rPr>
                <w:rFonts w:ascii="Arial" w:eastAsia="Times New Roman" w:hAnsi="Arial" w:cs="Arial"/>
                <w:sz w:val="20"/>
                <w:szCs w:val="16"/>
              </w:rPr>
            </w:pPr>
            <w:r w:rsidRPr="00364BAA">
              <w:rPr>
                <w:rFonts w:ascii="Arial" w:eastAsia="Times New Roman" w:hAnsi="Arial" w:cs="Arial"/>
                <w:sz w:val="20"/>
                <w:szCs w:val="16"/>
              </w:rPr>
              <w:t>Sekcia L – Činnosti v oblasti nehnuteľností – celá sekcia neoprávnená</w:t>
            </w:r>
          </w:p>
          <w:p w14:paraId="5A87A85D" w14:textId="77777777" w:rsidR="00364BAA" w:rsidRPr="00364BAA" w:rsidRDefault="00364BAA" w:rsidP="00364BAA">
            <w:pPr>
              <w:spacing w:after="0" w:line="240" w:lineRule="auto"/>
              <w:jc w:val="both"/>
              <w:rPr>
                <w:rFonts w:ascii="Arial" w:eastAsia="Times New Roman" w:hAnsi="Arial" w:cs="Arial"/>
                <w:sz w:val="20"/>
                <w:szCs w:val="16"/>
              </w:rPr>
            </w:pPr>
            <w:r w:rsidRPr="00364BAA">
              <w:rPr>
                <w:rFonts w:ascii="Arial" w:eastAsia="Times New Roman" w:hAnsi="Arial" w:cs="Arial"/>
                <w:sz w:val="20"/>
                <w:szCs w:val="16"/>
              </w:rPr>
              <w:t>Sekcia O – Verejná správa a obrana, povinné sociálne zabezpečenie – celá sekcia neoprávnená</w:t>
            </w:r>
          </w:p>
          <w:p w14:paraId="2152CBB5" w14:textId="77777777" w:rsidR="00364BAA" w:rsidRPr="00364BAA" w:rsidRDefault="00364BAA" w:rsidP="00364BAA">
            <w:pPr>
              <w:spacing w:after="0" w:line="240" w:lineRule="auto"/>
              <w:jc w:val="both"/>
              <w:rPr>
                <w:rFonts w:ascii="Arial" w:eastAsia="Times New Roman" w:hAnsi="Arial" w:cs="Arial"/>
                <w:sz w:val="20"/>
                <w:szCs w:val="16"/>
              </w:rPr>
            </w:pPr>
            <w:r w:rsidRPr="00364BAA">
              <w:rPr>
                <w:rFonts w:ascii="Arial" w:eastAsia="Times New Roman" w:hAnsi="Arial" w:cs="Arial"/>
                <w:sz w:val="20"/>
                <w:szCs w:val="16"/>
              </w:rPr>
              <w:t>Sekcia R – Umenie, zábava a rekreácia – neoprávnené sú nasledovné divízie</w:t>
            </w:r>
          </w:p>
          <w:p w14:paraId="005DA305" w14:textId="77777777" w:rsidR="00364BAA" w:rsidRPr="00364BAA" w:rsidRDefault="00364BAA" w:rsidP="00364BAA">
            <w:pPr>
              <w:spacing w:after="0" w:line="240" w:lineRule="auto"/>
              <w:ind w:firstLine="708"/>
              <w:jc w:val="both"/>
              <w:rPr>
                <w:rFonts w:ascii="Arial" w:eastAsia="Times New Roman" w:hAnsi="Arial" w:cs="Arial"/>
                <w:sz w:val="20"/>
                <w:szCs w:val="16"/>
              </w:rPr>
            </w:pPr>
            <w:r w:rsidRPr="00364BAA">
              <w:rPr>
                <w:rFonts w:ascii="Arial" w:eastAsia="Times New Roman" w:hAnsi="Arial" w:cs="Arial"/>
                <w:sz w:val="20"/>
                <w:szCs w:val="16"/>
              </w:rPr>
              <w:t>Divízia 92 – Činnosti herní a stávkových kancelárií</w:t>
            </w:r>
          </w:p>
          <w:p w14:paraId="23439623" w14:textId="77777777" w:rsidR="00364BAA" w:rsidRPr="00364BAA" w:rsidRDefault="00364BAA" w:rsidP="00364BAA">
            <w:pPr>
              <w:spacing w:after="0" w:line="240" w:lineRule="auto"/>
              <w:jc w:val="both"/>
              <w:rPr>
                <w:rFonts w:ascii="Arial" w:eastAsia="Times New Roman" w:hAnsi="Arial" w:cs="Arial"/>
                <w:sz w:val="20"/>
                <w:szCs w:val="16"/>
              </w:rPr>
            </w:pPr>
            <w:r w:rsidRPr="00364BAA">
              <w:rPr>
                <w:rFonts w:ascii="Arial" w:eastAsia="Times New Roman" w:hAnsi="Arial" w:cs="Arial"/>
                <w:sz w:val="20"/>
                <w:szCs w:val="16"/>
              </w:rPr>
              <w:t>Sekcia S – Ostatné činnosti – neoprávnené sú nasledovné divízie</w:t>
            </w:r>
          </w:p>
          <w:p w14:paraId="72E393B5" w14:textId="77777777" w:rsidR="00364BAA" w:rsidRPr="00364BAA" w:rsidRDefault="00364BAA" w:rsidP="00364BAA">
            <w:pPr>
              <w:spacing w:after="0" w:line="240" w:lineRule="auto"/>
              <w:ind w:firstLine="708"/>
              <w:jc w:val="both"/>
              <w:rPr>
                <w:rFonts w:ascii="Arial" w:eastAsia="Times New Roman" w:hAnsi="Arial" w:cs="Arial"/>
                <w:sz w:val="20"/>
                <w:szCs w:val="16"/>
              </w:rPr>
            </w:pPr>
            <w:r w:rsidRPr="00364BAA">
              <w:rPr>
                <w:rFonts w:ascii="Arial" w:eastAsia="Times New Roman" w:hAnsi="Arial" w:cs="Arial"/>
                <w:sz w:val="20"/>
                <w:szCs w:val="16"/>
              </w:rPr>
              <w:t>Divízia 94 – Činnosti členských organizácií</w:t>
            </w:r>
          </w:p>
          <w:p w14:paraId="1FA66A90" w14:textId="77777777" w:rsidR="00364BAA" w:rsidRPr="00364BAA" w:rsidRDefault="00364BAA" w:rsidP="00364BAA">
            <w:pPr>
              <w:spacing w:after="0" w:line="240" w:lineRule="auto"/>
              <w:jc w:val="both"/>
              <w:rPr>
                <w:rFonts w:ascii="Arial" w:eastAsia="Times New Roman" w:hAnsi="Arial" w:cs="Arial"/>
                <w:sz w:val="20"/>
                <w:szCs w:val="16"/>
              </w:rPr>
            </w:pPr>
            <w:r w:rsidRPr="00364BAA">
              <w:rPr>
                <w:rFonts w:ascii="Arial" w:eastAsia="Times New Roman" w:hAnsi="Arial" w:cs="Arial"/>
                <w:sz w:val="20"/>
                <w:szCs w:val="16"/>
              </w:rPr>
              <w:t>Sekcia T – Činnosti domácností ako zamestnávateľov, nediferencované činnosti v domácnosti produkujúce tovary a služby na vlastné použitie</w:t>
            </w:r>
          </w:p>
          <w:p w14:paraId="4E52C7B1" w14:textId="77777777" w:rsidR="00364BAA" w:rsidRPr="00364BAA" w:rsidRDefault="00364BAA" w:rsidP="00364BAA">
            <w:pPr>
              <w:spacing w:after="0" w:line="240" w:lineRule="auto"/>
              <w:jc w:val="both"/>
              <w:rPr>
                <w:rFonts w:ascii="Arial" w:eastAsia="Times New Roman" w:hAnsi="Arial" w:cs="Arial"/>
                <w:sz w:val="20"/>
                <w:szCs w:val="16"/>
              </w:rPr>
            </w:pPr>
            <w:r w:rsidRPr="00364BAA">
              <w:rPr>
                <w:rFonts w:ascii="Arial" w:eastAsia="Times New Roman" w:hAnsi="Arial" w:cs="Arial"/>
                <w:sz w:val="20"/>
                <w:szCs w:val="16"/>
              </w:rPr>
              <w:t>Sekcia U – Činnosti extrateritoriálnych organizácií a združení – celá sekcia neoprávnená</w:t>
            </w:r>
          </w:p>
          <w:p w14:paraId="58C39FAD" w14:textId="77777777" w:rsidR="00364BAA" w:rsidRPr="00364BAA" w:rsidRDefault="00364BAA" w:rsidP="00364BAA">
            <w:pPr>
              <w:spacing w:after="0" w:line="240" w:lineRule="auto"/>
              <w:jc w:val="both"/>
              <w:rPr>
                <w:rFonts w:ascii="Arial" w:eastAsia="Times New Roman" w:hAnsi="Arial" w:cs="Arial"/>
                <w:sz w:val="20"/>
                <w:szCs w:val="16"/>
              </w:rPr>
            </w:pPr>
          </w:p>
          <w:p w14:paraId="63D18989" w14:textId="77777777" w:rsidR="00364BAA" w:rsidRPr="00364BAA" w:rsidRDefault="00364BAA" w:rsidP="00364BAA">
            <w:pPr>
              <w:spacing w:after="0" w:line="240" w:lineRule="auto"/>
              <w:jc w:val="both"/>
              <w:rPr>
                <w:rFonts w:ascii="Arial" w:eastAsia="Times New Roman" w:hAnsi="Arial" w:cs="Arial"/>
                <w:sz w:val="20"/>
                <w:szCs w:val="16"/>
              </w:rPr>
            </w:pPr>
            <w:r w:rsidRPr="00364BAA">
              <w:rPr>
                <w:rFonts w:ascii="Arial" w:eastAsia="Times New Roman" w:hAnsi="Arial" w:cs="Arial"/>
                <w:sz w:val="20"/>
                <w:szCs w:val="16"/>
                <w:highlight w:val="yellow"/>
              </w:rPr>
              <w:t>Činnosť, na podporu ktorej bude projekt zameraný (teda SK NACE na úrovni projektu) nesmie spadať pod žiadnu z vyššie uvedených oblastí.</w:t>
            </w:r>
            <w:r w:rsidRPr="00364BAA">
              <w:rPr>
                <w:rFonts w:ascii="Arial" w:eastAsia="Times New Roman" w:hAnsi="Arial" w:cs="Arial"/>
                <w:sz w:val="20"/>
                <w:szCs w:val="16"/>
              </w:rPr>
              <w:t xml:space="preserve"> </w:t>
            </w:r>
          </w:p>
          <w:p w14:paraId="789636DD" w14:textId="77777777" w:rsidR="00364BAA" w:rsidRPr="00364BAA" w:rsidRDefault="00364BAA" w:rsidP="00364BAA">
            <w:pPr>
              <w:spacing w:after="0" w:line="240" w:lineRule="auto"/>
              <w:jc w:val="both"/>
              <w:rPr>
                <w:rFonts w:ascii="Arial" w:eastAsia="Times New Roman" w:hAnsi="Arial" w:cs="Arial"/>
                <w:sz w:val="20"/>
                <w:szCs w:val="16"/>
              </w:rPr>
            </w:pPr>
          </w:p>
          <w:p w14:paraId="35C3C448" w14:textId="77777777" w:rsidR="00364BAA" w:rsidRPr="00364BAA" w:rsidRDefault="00364BAA" w:rsidP="00364BAA">
            <w:pPr>
              <w:spacing w:after="0" w:line="240" w:lineRule="auto"/>
              <w:jc w:val="both"/>
              <w:rPr>
                <w:rFonts w:ascii="Arial" w:eastAsia="Times New Roman" w:hAnsi="Arial" w:cs="Arial"/>
                <w:color w:val="FF0000"/>
                <w:sz w:val="20"/>
                <w:szCs w:val="16"/>
              </w:rPr>
            </w:pPr>
            <w:r w:rsidRPr="00364BAA">
              <w:rPr>
                <w:rFonts w:ascii="Arial" w:eastAsia="Times New Roman" w:hAnsi="Arial" w:cs="Arial"/>
                <w:color w:val="FF0000"/>
                <w:sz w:val="20"/>
                <w:szCs w:val="16"/>
              </w:rPr>
              <w:t>Z podpory sú vylúčené nasledovné subjekty: subjekty pôsobiace v oblasti poľnohospodárskej prvovýroby</w:t>
            </w:r>
          </w:p>
          <w:p w14:paraId="324DCBB5" w14:textId="77777777" w:rsidR="00364BAA" w:rsidRPr="00364BAA" w:rsidRDefault="00364BAA" w:rsidP="00364BAA">
            <w:pPr>
              <w:spacing w:after="0" w:line="240" w:lineRule="auto"/>
              <w:jc w:val="both"/>
              <w:rPr>
                <w:rFonts w:ascii="Arial" w:eastAsia="Times New Roman" w:hAnsi="Arial" w:cs="Arial"/>
                <w:color w:val="FF0000"/>
                <w:sz w:val="20"/>
                <w:szCs w:val="16"/>
              </w:rPr>
            </w:pPr>
            <w:r w:rsidRPr="00364BAA">
              <w:rPr>
                <w:rFonts w:ascii="Arial" w:eastAsia="Times New Roman" w:hAnsi="Arial" w:cs="Arial"/>
                <w:color w:val="FF0000"/>
                <w:sz w:val="20"/>
                <w:szCs w:val="16"/>
              </w:rPr>
              <w:t>Z podpory sú vylúčené nasledovné oblasti investícií: oblasť lesníctva, rybolovu a akvakultúry a  poľnohospodárstva</w:t>
            </w:r>
          </w:p>
          <w:p w14:paraId="2CA957CD" w14:textId="5819CF92" w:rsidR="00364BAA" w:rsidRPr="00364BAA" w:rsidRDefault="00364BAA" w:rsidP="00364BAA">
            <w:pPr>
              <w:widowControl w:val="0"/>
              <w:spacing w:before="60" w:after="60" w:line="240" w:lineRule="auto"/>
              <w:ind w:right="85"/>
              <w:jc w:val="both"/>
              <w:rPr>
                <w:rFonts w:ascii="Arial" w:hAnsi="Arial" w:cs="Arial"/>
                <w:b/>
                <w:color w:val="FF0000"/>
                <w:sz w:val="20"/>
                <w:szCs w:val="20"/>
              </w:rPr>
            </w:pPr>
          </w:p>
        </w:tc>
      </w:tr>
      <w:tr w:rsidR="00997F82" w:rsidRPr="00291D70" w14:paraId="08968D0D" w14:textId="77777777" w:rsidTr="00F10680">
        <w:tblPrEx>
          <w:shd w:val="clear" w:color="auto" w:fill="auto"/>
          <w:tblCellMar>
            <w:left w:w="57" w:type="dxa"/>
            <w:right w:w="57" w:type="dxa"/>
          </w:tblCellMar>
        </w:tblPrEx>
        <w:trPr>
          <w:trHeight w:val="287"/>
        </w:trPr>
        <w:tc>
          <w:tcPr>
            <w:tcW w:w="10351"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F10680">
        <w:tblPrEx>
          <w:shd w:val="clear" w:color="auto" w:fill="auto"/>
          <w:tblCellMar>
            <w:left w:w="57" w:type="dxa"/>
            <w:right w:w="57" w:type="dxa"/>
          </w:tblCellMar>
        </w:tblPrEx>
        <w:tc>
          <w:tcPr>
            <w:tcW w:w="10351" w:type="dxa"/>
            <w:shd w:val="clear" w:color="auto" w:fill="auto"/>
          </w:tcPr>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7958E0C3" w:rsidR="00997F82" w:rsidRPr="00493EDA" w:rsidRDefault="00D835D8" w:rsidP="00DD3EE2">
            <w:pPr>
              <w:pStyle w:val="Odsekzoznamu"/>
              <w:spacing w:after="120" w:line="240" w:lineRule="auto"/>
              <w:ind w:left="85" w:right="85"/>
              <w:contextualSpacing w:val="0"/>
              <w:jc w:val="both"/>
              <w:rPr>
                <w:rFonts w:ascii="Arial" w:hAnsi="Arial" w:cs="Arial"/>
                <w:b/>
                <w:bCs/>
                <w:sz w:val="20"/>
                <w:szCs w:val="20"/>
                <w:lang w:eastAsia="cs-CZ"/>
              </w:rPr>
            </w:pPr>
            <w:r w:rsidRPr="00493EDA">
              <w:rPr>
                <w:rFonts w:ascii="Arial" w:hAnsi="Arial" w:cs="Arial"/>
                <w:b/>
                <w:bCs/>
                <w:color w:val="FF0000"/>
                <w:sz w:val="20"/>
                <w:szCs w:val="20"/>
                <w:lang w:eastAsia="cs-CZ"/>
              </w:rPr>
              <w:t>4)</w:t>
            </w:r>
            <w:r w:rsidR="00997F82" w:rsidRPr="00493EDA">
              <w:rPr>
                <w:rFonts w:ascii="Arial" w:hAnsi="Arial" w:cs="Arial"/>
                <w:b/>
                <w:bCs/>
                <w:color w:val="FF0000"/>
                <w:sz w:val="20"/>
                <w:szCs w:val="20"/>
                <w:lang w:eastAsia="cs-CZ"/>
              </w:rPr>
              <w:t xml:space="preserve"> príloha ŽoPr - Doklady preukazujúce finančnú spôsobilosť žiadateľa</w:t>
            </w:r>
            <w:r w:rsidR="00997F82" w:rsidRPr="00493EDA">
              <w:rPr>
                <w:rFonts w:ascii="Arial" w:hAnsi="Arial" w:cs="Arial"/>
                <w:b/>
                <w:bCs/>
                <w:sz w:val="20"/>
                <w:szCs w:val="20"/>
                <w:lang w:eastAsia="cs-CZ"/>
              </w:rPr>
              <w:t>.</w:t>
            </w:r>
          </w:p>
          <w:p w14:paraId="141DA16B" w14:textId="77777777" w:rsidR="00A93302" w:rsidRPr="0081541C" w:rsidRDefault="00A93302" w:rsidP="00A93302">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4FC64689" w14:textId="77777777" w:rsidR="00A93302" w:rsidRPr="0081541C" w:rsidRDefault="00A93302" w:rsidP="00A93302">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048CC63F" w14:textId="77777777" w:rsidR="00A93302" w:rsidRPr="0081541C" w:rsidRDefault="00A93302" w:rsidP="00A93302">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 </w:t>
            </w:r>
          </w:p>
          <w:p w14:paraId="279E1583" w14:textId="77777777" w:rsidR="00A93302" w:rsidRPr="0081541C" w:rsidRDefault="00A93302" w:rsidP="00A93302">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7DBD3D62" w14:textId="3A36E186" w:rsidR="00997F82" w:rsidRPr="00642032" w:rsidRDefault="00A93302" w:rsidP="00642032">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tc>
      </w:tr>
      <w:tr w:rsidR="00997F82" w:rsidRPr="00291D70" w14:paraId="49387E48" w14:textId="77777777" w:rsidTr="00F10680">
        <w:tblPrEx>
          <w:shd w:val="clear" w:color="auto" w:fill="auto"/>
          <w:tblCellMar>
            <w:left w:w="57" w:type="dxa"/>
            <w:right w:w="57" w:type="dxa"/>
          </w:tblCellMar>
        </w:tblPrEx>
        <w:trPr>
          <w:trHeight w:val="287"/>
        </w:trPr>
        <w:tc>
          <w:tcPr>
            <w:tcW w:w="10351" w:type="dxa"/>
            <w:shd w:val="clear" w:color="auto" w:fill="F2F2F2" w:themeFill="background1" w:themeFillShade="F2"/>
            <w:vAlign w:val="center"/>
          </w:tcPr>
          <w:p w14:paraId="2E2E81DB" w14:textId="01C84EB0"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34B69">
              <w:rPr>
                <w:rFonts w:ascii="Arial" w:hAnsi="Arial" w:cs="Arial"/>
                <w:b/>
                <w:sz w:val="20"/>
                <w:szCs w:val="20"/>
              </w:rPr>
              <w:t xml:space="preserve">Podmienka, že žiadateľ ani jeho štatutárny orgán, ani žiadny člen štatutárneho orgánu, ani prokurista/i, ani osoba splnomocnená zastupovať žiadateľa </w:t>
            </w:r>
            <w:r>
              <w:rPr>
                <w:rFonts w:ascii="Arial" w:hAnsi="Arial" w:cs="Arial"/>
                <w:b/>
                <w:sz w:val="20"/>
                <w:szCs w:val="20"/>
              </w:rPr>
              <w:t>v procese schvaľovania žiadosti o</w:t>
            </w:r>
            <w:r w:rsidR="00556E68">
              <w:rPr>
                <w:rFonts w:ascii="Arial" w:hAnsi="Arial" w:cs="Arial"/>
                <w:b/>
                <w:sz w:val="20"/>
                <w:szCs w:val="20"/>
              </w:rPr>
              <w:t> </w:t>
            </w:r>
            <w:r>
              <w:rPr>
                <w:rFonts w:ascii="Arial" w:hAnsi="Arial" w:cs="Arial"/>
                <w:b/>
                <w:sz w:val="20"/>
                <w:szCs w:val="20"/>
              </w:rPr>
              <w:t>príspevok</w:t>
            </w:r>
            <w:r w:rsidRPr="00734B69">
              <w:rPr>
                <w:rFonts w:ascii="Arial" w:hAnsi="Arial" w:cs="Arial"/>
                <w:b/>
                <w:sz w:val="20"/>
                <w:szCs w:val="20"/>
              </w:rPr>
              <w:t xml:space="preserve"> neboli právoplatne odsúdení za </w:t>
            </w:r>
            <w:r>
              <w:rPr>
                <w:rFonts w:ascii="Arial" w:hAnsi="Arial" w:cs="Arial"/>
                <w:b/>
                <w:sz w:val="20"/>
                <w:szCs w:val="20"/>
              </w:rPr>
              <w:t xml:space="preserve">niektorý z vybraných </w:t>
            </w:r>
            <w:r w:rsidRPr="00734B69">
              <w:rPr>
                <w:rFonts w:ascii="Arial" w:hAnsi="Arial" w:cs="Arial"/>
                <w:b/>
                <w:sz w:val="20"/>
                <w:szCs w:val="20"/>
              </w:rPr>
              <w:t>trestný</w:t>
            </w:r>
            <w:r>
              <w:rPr>
                <w:rFonts w:ascii="Arial" w:hAnsi="Arial" w:cs="Arial"/>
                <w:b/>
                <w:sz w:val="20"/>
                <w:szCs w:val="20"/>
              </w:rPr>
              <w:t>ch</w:t>
            </w:r>
            <w:r w:rsidRPr="00734B69">
              <w:rPr>
                <w:rFonts w:ascii="Arial" w:hAnsi="Arial" w:cs="Arial"/>
                <w:b/>
                <w:sz w:val="20"/>
                <w:szCs w:val="20"/>
              </w:rPr>
              <w:t xml:space="preserve"> čin</w:t>
            </w:r>
            <w:r>
              <w:rPr>
                <w:rFonts w:ascii="Arial" w:hAnsi="Arial" w:cs="Arial"/>
                <w:b/>
                <w:sz w:val="20"/>
                <w:szCs w:val="20"/>
              </w:rPr>
              <w:t>ov</w:t>
            </w:r>
            <w:r w:rsidRPr="00734B69">
              <w:rPr>
                <w:rFonts w:ascii="Arial" w:hAnsi="Arial" w:cs="Arial"/>
                <w:b/>
                <w:sz w:val="20"/>
                <w:szCs w:val="20"/>
              </w:rPr>
              <w:t xml:space="preserve"> </w:t>
            </w:r>
          </w:p>
        </w:tc>
      </w:tr>
      <w:tr w:rsidR="00997F82" w:rsidRPr="006A79F0" w14:paraId="5E565694" w14:textId="77777777" w:rsidTr="00F10680">
        <w:tblPrEx>
          <w:shd w:val="clear" w:color="auto" w:fill="auto"/>
          <w:tblCellMar>
            <w:left w:w="57" w:type="dxa"/>
            <w:right w:w="57" w:type="dxa"/>
          </w:tblCellMar>
        </w:tblPrEx>
        <w:tc>
          <w:tcPr>
            <w:tcW w:w="10351" w:type="dxa"/>
            <w:shd w:val="clear" w:color="auto" w:fill="auto"/>
          </w:tcPr>
          <w:p w14:paraId="17517430"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lastRenderedPageBreak/>
              <w:t>Žiadateľ ani jeho štatutárny orgán, ani žiadny člen štatutárneho orgánu,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2179F26F" w14:textId="056E2757" w:rsidR="00997F82" w:rsidRPr="00642032" w:rsidRDefault="00D835D8" w:rsidP="00642032">
            <w:pPr>
              <w:pStyle w:val="Odsekzoznamu"/>
              <w:widowControl w:val="0"/>
              <w:spacing w:before="60" w:after="60" w:line="240" w:lineRule="auto"/>
              <w:ind w:left="85" w:right="85"/>
              <w:contextualSpacing w:val="0"/>
              <w:jc w:val="both"/>
              <w:rPr>
                <w:rFonts w:ascii="Arial" w:hAnsi="Arial" w:cs="Arial"/>
                <w:b/>
                <w:sz w:val="20"/>
                <w:szCs w:val="20"/>
              </w:rPr>
            </w:pPr>
            <w:r w:rsidRPr="00493EDA">
              <w:rPr>
                <w:rFonts w:ascii="Arial" w:hAnsi="Arial" w:cs="Arial"/>
                <w:b/>
                <w:color w:val="FF0000"/>
                <w:sz w:val="20"/>
                <w:szCs w:val="20"/>
              </w:rPr>
              <w:t>5)</w:t>
            </w:r>
            <w:r w:rsidR="00997F82" w:rsidRPr="00493EDA">
              <w:rPr>
                <w:rFonts w:ascii="Arial" w:hAnsi="Arial" w:cs="Arial"/>
                <w:b/>
                <w:color w:val="FF0000"/>
                <w:sz w:val="20"/>
                <w:szCs w:val="20"/>
              </w:rPr>
              <w:t xml:space="preserve"> príloha ŽoPr - Výpis z registra trestov fyzických osôb </w:t>
            </w:r>
          </w:p>
        </w:tc>
      </w:tr>
      <w:tr w:rsidR="00997F82" w:rsidRPr="00291D70" w14:paraId="6F605F5E" w14:textId="77777777" w:rsidTr="00F10680">
        <w:tblPrEx>
          <w:shd w:val="clear" w:color="auto" w:fill="auto"/>
          <w:tblCellMar>
            <w:left w:w="57" w:type="dxa"/>
            <w:right w:w="57" w:type="dxa"/>
          </w:tblCellMar>
        </w:tblPrEx>
        <w:trPr>
          <w:trHeight w:val="287"/>
        </w:trPr>
        <w:tc>
          <w:tcPr>
            <w:tcW w:w="10351"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Oprávnenosť aktivít projektu</w:t>
            </w:r>
          </w:p>
        </w:tc>
      </w:tr>
      <w:tr w:rsidR="00997F82" w:rsidRPr="006A79F0" w14:paraId="23002465" w14:textId="77777777" w:rsidTr="00F10680">
        <w:tblPrEx>
          <w:shd w:val="clear" w:color="auto" w:fill="auto"/>
          <w:tblCellMar>
            <w:left w:w="57" w:type="dxa"/>
            <w:right w:w="57" w:type="dxa"/>
          </w:tblCellMar>
        </w:tblPrEx>
        <w:tc>
          <w:tcPr>
            <w:tcW w:w="10351"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2CABE53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0535427" w14:textId="77777777" w:rsidR="00642032" w:rsidRPr="00261B74" w:rsidRDefault="00642032" w:rsidP="00642032">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6.12.2023.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r w:rsidRPr="00261B74">
              <w:rPr>
                <w:rFonts w:ascii="Arial" w:hAnsi="Arial" w:cs="Arial"/>
                <w:sz w:val="20"/>
                <w:szCs w:val="20"/>
              </w:rPr>
              <w:t>.</w:t>
            </w:r>
          </w:p>
          <w:p w14:paraId="59854380" w14:textId="77777777" w:rsidR="00642032" w:rsidRDefault="00642032" w:rsidP="00183589">
            <w:pPr>
              <w:pStyle w:val="Odsekzoznamu"/>
              <w:widowControl w:val="0"/>
              <w:spacing w:before="120" w:after="120" w:line="240" w:lineRule="auto"/>
              <w:ind w:left="85" w:right="85"/>
              <w:contextualSpacing w:val="0"/>
              <w:jc w:val="both"/>
              <w:rPr>
                <w:rFonts w:ascii="Arial" w:hAnsi="Arial" w:cs="Arial"/>
                <w:bCs/>
                <w:sz w:val="20"/>
                <w:szCs w:val="20"/>
              </w:rPr>
            </w:pPr>
          </w:p>
          <w:p w14:paraId="1750E8A6" w14:textId="71E38D43" w:rsidR="00220A21"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p>
          <w:p w14:paraId="45586B19" w14:textId="28C9A1F1" w:rsidR="00997F82" w:rsidRDefault="00997F82" w:rsidP="00402F5D">
            <w:pPr>
              <w:pStyle w:val="Odsekzoznamu"/>
              <w:widowControl w:val="0"/>
              <w:tabs>
                <w:tab w:val="center" w:pos="4831"/>
              </w:tabs>
              <w:spacing w:before="120" w:after="120" w:line="240" w:lineRule="auto"/>
              <w:ind w:left="85" w:right="85"/>
              <w:contextualSpacing w:val="0"/>
              <w:jc w:val="both"/>
              <w:rPr>
                <w:rFonts w:ascii="Arial" w:hAnsi="Arial" w:cs="Arial"/>
                <w:b/>
                <w:bCs/>
                <w:sz w:val="22"/>
              </w:rPr>
            </w:pPr>
            <w:r w:rsidRPr="00220A21">
              <w:rPr>
                <w:rFonts w:ascii="Arial" w:hAnsi="Arial" w:cs="Arial"/>
                <w:b/>
                <w:bCs/>
                <w:sz w:val="20"/>
                <w:szCs w:val="20"/>
              </w:rPr>
              <w:t xml:space="preserve"> </w:t>
            </w:r>
            <w:sdt>
              <w:sdtPr>
                <w:rPr>
                  <w:rFonts w:ascii="Arial" w:hAnsi="Arial" w:cs="Arial"/>
                  <w:b/>
                  <w:bCs/>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220A21" w:rsidRPr="00220A21">
                  <w:rPr>
                    <w:rFonts w:ascii="Arial" w:hAnsi="Arial" w:cs="Arial"/>
                    <w:b/>
                    <w:bCs/>
                    <w:sz w:val="22"/>
                  </w:rPr>
                  <w:t>A1 Podpora podnikania a inovácií</w:t>
                </w:r>
              </w:sdtContent>
            </w:sdt>
            <w:r w:rsidR="00402F5D">
              <w:rPr>
                <w:rFonts w:ascii="Arial" w:hAnsi="Arial" w:cs="Arial"/>
                <w:b/>
                <w:bCs/>
                <w:sz w:val="22"/>
              </w:rPr>
              <w:tab/>
            </w:r>
          </w:p>
          <w:p w14:paraId="412BF1DD" w14:textId="77777777" w:rsidR="00CD5AD8" w:rsidRPr="00CD5AD8" w:rsidRDefault="00CD5AD8" w:rsidP="00CD5AD8">
            <w:pPr>
              <w:spacing w:before="40" w:after="40"/>
              <w:ind w:left="85"/>
              <w:rPr>
                <w:rFonts w:asciiTheme="minorHAnsi" w:hAnsiTheme="minorHAnsi" w:cstheme="minorHAnsi"/>
              </w:rPr>
            </w:pPr>
            <w:r w:rsidRPr="00CD5AD8">
              <w:rPr>
                <w:rFonts w:asciiTheme="minorHAnsi" w:hAnsiTheme="minorHAnsi" w:cstheme="minorHAnsi"/>
              </w:rPr>
              <w:t>Popis oprávnenej aktivity:</w:t>
            </w:r>
          </w:p>
          <w:p w14:paraId="4DEA8353" w14:textId="77777777" w:rsidR="00CD5AD8" w:rsidRPr="00642032" w:rsidRDefault="00CD5AD8" w:rsidP="00CD5AD8">
            <w:pPr>
              <w:pStyle w:val="Odsekzoznamu"/>
              <w:numPr>
                <w:ilvl w:val="0"/>
                <w:numId w:val="65"/>
              </w:numPr>
              <w:spacing w:after="0" w:line="240" w:lineRule="auto"/>
              <w:rPr>
                <w:rFonts w:ascii="Arial" w:hAnsi="Arial" w:cs="Arial"/>
                <w:sz w:val="20"/>
                <w:szCs w:val="18"/>
              </w:rPr>
            </w:pPr>
            <w:r w:rsidRPr="00642032">
              <w:rPr>
                <w:rFonts w:ascii="Arial" w:hAnsi="Arial" w:cs="Arial"/>
                <w:sz w:val="20"/>
                <w:szCs w:val="18"/>
              </w:rPr>
              <w:t>obstaranie hmotného majetku pre účely tvorby pracovných miest,</w:t>
            </w:r>
          </w:p>
          <w:p w14:paraId="38BCF167" w14:textId="77777777" w:rsidR="00CD5AD8" w:rsidRPr="00642032" w:rsidRDefault="00CD5AD8" w:rsidP="00CD5AD8">
            <w:pPr>
              <w:pStyle w:val="Odsekzoznamu"/>
              <w:numPr>
                <w:ilvl w:val="0"/>
                <w:numId w:val="65"/>
              </w:numPr>
              <w:spacing w:after="0" w:line="240" w:lineRule="auto"/>
              <w:rPr>
                <w:rFonts w:ascii="Arial" w:hAnsi="Arial" w:cs="Arial"/>
                <w:sz w:val="20"/>
                <w:szCs w:val="18"/>
              </w:rPr>
            </w:pPr>
            <w:r w:rsidRPr="00642032">
              <w:rPr>
                <w:rFonts w:ascii="Arial" w:hAnsi="Arial" w:cs="Arial"/>
                <w:sz w:val="20"/>
                <w:szCs w:val="18"/>
              </w:rPr>
              <w:t>nutné stavebnotechnické úpravy budov spojené s umiestnením obstaranej technológie a/alebo s poskytovaním nových služieb,</w:t>
            </w:r>
          </w:p>
          <w:p w14:paraId="4385C59F" w14:textId="77777777" w:rsidR="00CD5AD8" w:rsidRPr="00642032" w:rsidRDefault="00CD5AD8" w:rsidP="00CD5AD8">
            <w:pPr>
              <w:pStyle w:val="Odsekzoznamu"/>
              <w:numPr>
                <w:ilvl w:val="0"/>
                <w:numId w:val="65"/>
              </w:numPr>
              <w:spacing w:after="0" w:line="240" w:lineRule="auto"/>
              <w:rPr>
                <w:rFonts w:ascii="Arial" w:hAnsi="Arial" w:cs="Arial"/>
                <w:sz w:val="20"/>
                <w:szCs w:val="18"/>
              </w:rPr>
            </w:pPr>
            <w:r w:rsidRPr="00642032">
              <w:rPr>
                <w:rFonts w:ascii="Arial" w:hAnsi="Arial" w:cs="Arial"/>
                <w:sz w:val="20"/>
                <w:szCs w:val="18"/>
              </w:rPr>
              <w:t>podpora marketingových aktivít,</w:t>
            </w:r>
          </w:p>
          <w:p w14:paraId="7DFB505B" w14:textId="77777777" w:rsidR="00CD5AD8" w:rsidRPr="00642032" w:rsidRDefault="00CD5AD8" w:rsidP="00CD5AD8">
            <w:pPr>
              <w:pStyle w:val="Odsekzoznamu"/>
              <w:numPr>
                <w:ilvl w:val="0"/>
                <w:numId w:val="65"/>
              </w:numPr>
              <w:spacing w:after="0" w:line="240" w:lineRule="auto"/>
              <w:rPr>
                <w:rFonts w:ascii="Arial" w:hAnsi="Arial" w:cs="Arial"/>
                <w:sz w:val="20"/>
                <w:szCs w:val="18"/>
              </w:rPr>
            </w:pPr>
            <w:r w:rsidRPr="00642032">
              <w:rPr>
                <w:rFonts w:ascii="Arial" w:hAnsi="Arial" w:cs="Arial"/>
                <w:sz w:val="20"/>
                <w:szCs w:val="18"/>
              </w:rPr>
              <w:t>podpora miestnych produkčno-spotrebiteľských reťazcov, sieťovanie na úrovni miestnej ekonomiky a výmena skúseností.</w:t>
            </w:r>
          </w:p>
          <w:tbl>
            <w:tblPr>
              <w:tblStyle w:val="Deloittetable21"/>
              <w:tblW w:w="10227" w:type="dxa"/>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4215"/>
              <w:gridCol w:w="6012"/>
            </w:tblGrid>
            <w:tr w:rsidR="00402F5D" w14:paraId="63205EF7" w14:textId="77777777" w:rsidTr="00402F5D">
              <w:trPr>
                <w:cnfStyle w:val="100000000000" w:firstRow="1" w:lastRow="0" w:firstColumn="0" w:lastColumn="0" w:oddVBand="0" w:evenVBand="0" w:oddHBand="0" w:evenHBand="0" w:firstRowFirstColumn="0" w:firstRowLastColumn="0" w:lastRowFirstColumn="0" w:lastRowLastColumn="0"/>
                <w:trHeight w:val="337"/>
              </w:trPr>
              <w:tc>
                <w:tcPr>
                  <w:tcW w:w="421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hideMark/>
                </w:tcPr>
                <w:p w14:paraId="2F7ACBB8" w14:textId="77777777" w:rsidR="00402F5D" w:rsidRDefault="00402F5D" w:rsidP="00402F5D">
                  <w:pPr>
                    <w:pStyle w:val="Default"/>
                    <w:widowControl w:val="0"/>
                    <w:ind w:left="85" w:right="85"/>
                    <w:rPr>
                      <w:rFonts w:asciiTheme="minorHAnsi" w:hAnsiTheme="minorHAnsi" w:cstheme="minorHAnsi"/>
                      <w:color w:val="auto"/>
                      <w:sz w:val="19"/>
                      <w:szCs w:val="19"/>
                    </w:rPr>
                  </w:pPr>
                  <w:r>
                    <w:rPr>
                      <w:rFonts w:asciiTheme="minorHAnsi" w:hAnsiTheme="minorHAnsi" w:cstheme="minorHAnsi"/>
                      <w:color w:val="auto"/>
                      <w:sz w:val="19"/>
                      <w:szCs w:val="19"/>
                    </w:rPr>
                    <w:t>021 - Stavebné práce vo výške obstarávacej ceny</w:t>
                  </w:r>
                </w:p>
              </w:tc>
              <w:tc>
                <w:tcPr>
                  <w:tcW w:w="601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hideMark/>
                </w:tcPr>
                <w:p w14:paraId="14E61548" w14:textId="77777777" w:rsidR="00402F5D" w:rsidRDefault="00402F5D" w:rsidP="00402F5D">
                  <w:pPr>
                    <w:pStyle w:val="Default"/>
                    <w:widowControl w:val="0"/>
                    <w:numPr>
                      <w:ilvl w:val="0"/>
                      <w:numId w:val="64"/>
                    </w:numPr>
                    <w:ind w:left="538" w:right="85"/>
                    <w:jc w:val="both"/>
                    <w:rPr>
                      <w:rFonts w:asciiTheme="minorHAnsi" w:hAnsiTheme="minorHAnsi" w:cstheme="minorHAnsi"/>
                      <w:color w:val="auto"/>
                      <w:sz w:val="19"/>
                      <w:szCs w:val="19"/>
                    </w:rPr>
                  </w:pPr>
                  <w:r>
                    <w:rPr>
                      <w:rFonts w:asciiTheme="minorHAnsi" w:hAnsiTheme="minorHAnsi" w:cstheme="minorHAnsi"/>
                      <w:sz w:val="19"/>
                      <w:szCs w:val="19"/>
                    </w:rPr>
                    <w:t>výstavba nových stavieb, prístavby, nadstavby</w:t>
                  </w:r>
                </w:p>
                <w:p w14:paraId="59CB30EA" w14:textId="77777777" w:rsidR="00402F5D" w:rsidRDefault="00402F5D" w:rsidP="00402F5D">
                  <w:pPr>
                    <w:pStyle w:val="Default"/>
                    <w:widowControl w:val="0"/>
                    <w:numPr>
                      <w:ilvl w:val="0"/>
                      <w:numId w:val="64"/>
                    </w:numPr>
                    <w:ind w:left="538" w:right="85"/>
                    <w:jc w:val="both"/>
                    <w:rPr>
                      <w:rFonts w:asciiTheme="minorHAnsi" w:hAnsiTheme="minorHAnsi" w:cstheme="minorHAnsi"/>
                      <w:color w:val="auto"/>
                      <w:sz w:val="19"/>
                      <w:szCs w:val="19"/>
                    </w:rPr>
                  </w:pPr>
                  <w:r>
                    <w:rPr>
                      <w:rFonts w:asciiTheme="minorHAnsi" w:hAnsiTheme="minorHAnsi" w:cstheme="minorHAnsi"/>
                      <w:sz w:val="19"/>
                      <w:szCs w:val="19"/>
                    </w:rPr>
                    <w:t>rekonštrukcia a modernizácia existujúcich stavieb,</w:t>
                  </w:r>
                </w:p>
              </w:tc>
            </w:tr>
            <w:tr w:rsidR="00402F5D" w14:paraId="1E7A0E28" w14:textId="77777777" w:rsidTr="00402F5D">
              <w:trPr>
                <w:trHeight w:val="337"/>
              </w:trPr>
              <w:tc>
                <w:tcPr>
                  <w:tcW w:w="421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hideMark/>
                </w:tcPr>
                <w:p w14:paraId="6BE82163" w14:textId="77777777" w:rsidR="00402F5D" w:rsidRDefault="00402F5D" w:rsidP="00402F5D">
                  <w:pPr>
                    <w:pStyle w:val="Default"/>
                    <w:widowControl w:val="0"/>
                    <w:ind w:left="85" w:right="85"/>
                    <w:rPr>
                      <w:rFonts w:asciiTheme="minorHAnsi" w:hAnsiTheme="minorHAnsi" w:cstheme="minorHAnsi"/>
                      <w:color w:val="auto"/>
                      <w:sz w:val="19"/>
                      <w:szCs w:val="19"/>
                    </w:rPr>
                  </w:pPr>
                  <w:r>
                    <w:rPr>
                      <w:rFonts w:asciiTheme="minorHAnsi" w:hAnsiTheme="minorHAnsi" w:cstheme="minorHAnsi"/>
                      <w:sz w:val="19"/>
                      <w:szCs w:val="19"/>
                    </w:rPr>
                    <w:t>022 – Samostatné hnuteľné veci a súbory hnuteľných vecí vo výške obstarávacej ceny</w:t>
                  </w:r>
                </w:p>
              </w:tc>
              <w:tc>
                <w:tcPr>
                  <w:tcW w:w="601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hideMark/>
                </w:tcPr>
                <w:p w14:paraId="4355D63D" w14:textId="77777777" w:rsidR="00402F5D" w:rsidRDefault="00402F5D" w:rsidP="00402F5D">
                  <w:pPr>
                    <w:pStyle w:val="Default"/>
                    <w:widowControl w:val="0"/>
                    <w:numPr>
                      <w:ilvl w:val="0"/>
                      <w:numId w:val="64"/>
                    </w:numPr>
                    <w:ind w:left="538" w:right="85"/>
                    <w:jc w:val="both"/>
                    <w:rPr>
                      <w:rFonts w:asciiTheme="minorHAnsi" w:hAnsiTheme="minorHAnsi" w:cstheme="minorHAnsi"/>
                      <w:color w:val="auto"/>
                      <w:sz w:val="19"/>
                      <w:szCs w:val="19"/>
                    </w:rPr>
                  </w:pPr>
                  <w:r>
                    <w:rPr>
                      <w:rFonts w:asciiTheme="minorHAnsi" w:hAnsiTheme="minorHAnsi" w:cstheme="minorHAnsi"/>
                      <w:sz w:val="19"/>
                      <w:szCs w:val="19"/>
                    </w:rPr>
                    <w:t>nákup prevádzkových/špeciálnych strojov, prístrojov, zariadení vrátane prvého zaškolenia obsluhy (napr. CNC stroje, brúsky, frézy a iné výrobné zariadenia) vrátane obslužného softvéru, ak tvorí súčasť obstarávacej ceny zariadenia,</w:t>
                  </w:r>
                </w:p>
                <w:p w14:paraId="4F08C4FD" w14:textId="77777777" w:rsidR="00402F5D" w:rsidRDefault="00402F5D" w:rsidP="00402F5D">
                  <w:pPr>
                    <w:pStyle w:val="Default"/>
                    <w:widowControl w:val="0"/>
                    <w:numPr>
                      <w:ilvl w:val="0"/>
                      <w:numId w:val="64"/>
                    </w:numPr>
                    <w:ind w:left="538" w:right="85"/>
                    <w:jc w:val="both"/>
                    <w:rPr>
                      <w:rFonts w:asciiTheme="minorHAnsi" w:hAnsiTheme="minorHAnsi" w:cstheme="minorHAnsi"/>
                      <w:color w:val="auto"/>
                      <w:sz w:val="19"/>
                      <w:szCs w:val="19"/>
                    </w:rPr>
                  </w:pPr>
                  <w:r>
                    <w:rPr>
                      <w:rFonts w:asciiTheme="minorHAnsi" w:hAnsiTheme="minorHAnsi" w:cstheme="minorHAnsi"/>
                      <w:sz w:val="19"/>
                      <w:szCs w:val="19"/>
                    </w:rPr>
                    <w:t>nákup technológií alebo časti technológií tvoriacich navzájom funkčný celok vrátane obslužného softvéru, ak tvorí súčasť obstarávacej ceny zariadenia,</w:t>
                  </w:r>
                </w:p>
              </w:tc>
            </w:tr>
            <w:tr w:rsidR="00402F5D" w14:paraId="5A2776C7" w14:textId="77777777" w:rsidTr="00402F5D">
              <w:trPr>
                <w:trHeight w:val="337"/>
              </w:trPr>
              <w:tc>
                <w:tcPr>
                  <w:tcW w:w="421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hideMark/>
                </w:tcPr>
                <w:p w14:paraId="4B7DCBC1" w14:textId="77777777" w:rsidR="00402F5D" w:rsidRDefault="00402F5D" w:rsidP="00402F5D">
                  <w:pPr>
                    <w:pStyle w:val="Default"/>
                    <w:widowControl w:val="0"/>
                    <w:ind w:left="85" w:right="85"/>
                    <w:rPr>
                      <w:rFonts w:asciiTheme="minorHAnsi" w:hAnsiTheme="minorHAnsi" w:cstheme="minorHAnsi"/>
                      <w:color w:val="auto"/>
                      <w:sz w:val="19"/>
                      <w:szCs w:val="19"/>
                    </w:rPr>
                  </w:pPr>
                  <w:r>
                    <w:rPr>
                      <w:rFonts w:asciiTheme="minorHAnsi" w:hAnsiTheme="minorHAnsi" w:cstheme="minorHAnsi"/>
                      <w:sz w:val="19"/>
                      <w:szCs w:val="19"/>
                    </w:rPr>
                    <w:t>023 – Dopravné prostriedky</w:t>
                  </w:r>
                </w:p>
              </w:tc>
              <w:tc>
                <w:tcPr>
                  <w:tcW w:w="601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3FE7FEF" w14:textId="77777777" w:rsidR="00402F5D" w:rsidRDefault="00402F5D" w:rsidP="00402F5D">
                  <w:pPr>
                    <w:pStyle w:val="Default"/>
                    <w:widowControl w:val="0"/>
                    <w:numPr>
                      <w:ilvl w:val="0"/>
                      <w:numId w:val="64"/>
                    </w:numPr>
                    <w:ind w:left="538" w:right="85"/>
                    <w:jc w:val="both"/>
                    <w:rPr>
                      <w:rFonts w:asciiTheme="minorHAnsi" w:hAnsiTheme="minorHAnsi" w:cstheme="minorHAnsi"/>
                      <w:color w:val="auto"/>
                      <w:sz w:val="19"/>
                      <w:szCs w:val="19"/>
                    </w:rPr>
                  </w:pPr>
                  <w:r>
                    <w:rPr>
                      <w:rFonts w:asciiTheme="minorHAnsi" w:hAnsiTheme="minorHAnsi" w:cstheme="minorHAnsi"/>
                      <w:sz w:val="19"/>
                      <w:szCs w:val="19"/>
                    </w:rPr>
                    <w:t>nákup automobilov a iných dopravných prostriedkov</w:t>
                  </w:r>
                </w:p>
                <w:p w14:paraId="457EBEFA" w14:textId="77777777" w:rsidR="00402F5D" w:rsidRDefault="00402F5D" w:rsidP="00402F5D">
                  <w:pPr>
                    <w:pStyle w:val="Default"/>
                    <w:widowControl w:val="0"/>
                    <w:ind w:left="178" w:right="85"/>
                    <w:jc w:val="both"/>
                    <w:rPr>
                      <w:rFonts w:asciiTheme="minorHAnsi" w:hAnsiTheme="minorHAnsi" w:cstheme="minorHAnsi"/>
                      <w:color w:val="auto"/>
                      <w:sz w:val="19"/>
                      <w:szCs w:val="19"/>
                    </w:rPr>
                  </w:pPr>
                </w:p>
                <w:p w14:paraId="716FAEE8" w14:textId="77777777" w:rsidR="00642032" w:rsidRPr="00642032" w:rsidRDefault="00642032" w:rsidP="00642032">
                  <w:pPr>
                    <w:pStyle w:val="Default"/>
                    <w:widowControl w:val="0"/>
                    <w:ind w:right="85"/>
                    <w:jc w:val="both"/>
                    <w:rPr>
                      <w:rFonts w:asciiTheme="minorHAnsi" w:hAnsiTheme="minorHAnsi" w:cstheme="minorHAnsi"/>
                      <w:b/>
                      <w:bCs/>
                      <w:color w:val="auto"/>
                      <w:sz w:val="18"/>
                      <w:szCs w:val="18"/>
                      <w:u w:val="single"/>
                      <w:lang w:val="sk-SK"/>
                    </w:rPr>
                  </w:pPr>
                  <w:r w:rsidRPr="00642032">
                    <w:rPr>
                      <w:rFonts w:asciiTheme="minorHAnsi" w:hAnsiTheme="minorHAnsi" w:cstheme="minorHAnsi"/>
                      <w:b/>
                      <w:bCs/>
                      <w:color w:val="auto"/>
                      <w:sz w:val="18"/>
                      <w:szCs w:val="18"/>
                      <w:u w:val="single"/>
                      <w:lang w:val="sk-SK"/>
                    </w:rPr>
                    <w:t>Nákup automobilov je oprávnený v prípade, ak:</w:t>
                  </w:r>
                </w:p>
                <w:p w14:paraId="6495DEC2" w14:textId="77777777" w:rsidR="00642032" w:rsidRPr="00642032" w:rsidRDefault="00642032" w:rsidP="00642032">
                  <w:pPr>
                    <w:pStyle w:val="Default"/>
                    <w:widowControl w:val="0"/>
                    <w:numPr>
                      <w:ilvl w:val="0"/>
                      <w:numId w:val="68"/>
                    </w:numPr>
                    <w:spacing w:before="120"/>
                    <w:ind w:left="458" w:right="85"/>
                    <w:jc w:val="both"/>
                    <w:rPr>
                      <w:rFonts w:asciiTheme="minorHAnsi" w:hAnsiTheme="minorHAnsi" w:cstheme="minorHAnsi"/>
                      <w:bCs/>
                      <w:color w:val="auto"/>
                      <w:sz w:val="18"/>
                      <w:szCs w:val="18"/>
                      <w:lang w:val="sk-SK"/>
                    </w:rPr>
                  </w:pPr>
                  <w:r w:rsidRPr="00642032">
                    <w:rPr>
                      <w:rFonts w:asciiTheme="minorHAnsi" w:hAnsiTheme="minorHAnsi" w:cstheme="minorHAnsi"/>
                      <w:b/>
                      <w:bCs/>
                      <w:color w:val="auto"/>
                      <w:sz w:val="18"/>
                      <w:szCs w:val="18"/>
                      <w:lang w:val="sk-SK"/>
                    </w:rPr>
                    <w:t>je priamo naviazaný na ciele projektu a jeho používanie je priamym predmetom činnosti projektu</w:t>
                  </w:r>
                  <w:r w:rsidRPr="00642032">
                    <w:rPr>
                      <w:rFonts w:asciiTheme="minorHAnsi" w:hAnsiTheme="minorHAnsi" w:cstheme="minorHAnsi"/>
                      <w:bCs/>
                      <w:color w:val="auto"/>
                      <w:sz w:val="18"/>
                      <w:szCs w:val="18"/>
                      <w:lang w:val="sk-SK"/>
                    </w:rPr>
                    <w:t xml:space="preserve"> </w:t>
                  </w:r>
                </w:p>
                <w:p w14:paraId="648FA8A4" w14:textId="77777777" w:rsidR="00642032" w:rsidRPr="00642032" w:rsidRDefault="00642032" w:rsidP="00642032">
                  <w:pPr>
                    <w:pStyle w:val="Default"/>
                    <w:widowControl w:val="0"/>
                    <w:numPr>
                      <w:ilvl w:val="0"/>
                      <w:numId w:val="68"/>
                    </w:numPr>
                    <w:spacing w:before="120"/>
                    <w:ind w:left="457" w:right="85"/>
                    <w:jc w:val="both"/>
                    <w:rPr>
                      <w:rFonts w:asciiTheme="minorHAnsi" w:hAnsiTheme="minorHAnsi" w:cstheme="minorHAnsi"/>
                      <w:bCs/>
                      <w:color w:val="auto"/>
                      <w:sz w:val="18"/>
                      <w:szCs w:val="18"/>
                      <w:lang w:val="sk-SK"/>
                    </w:rPr>
                  </w:pPr>
                  <w:r w:rsidRPr="00642032">
                    <w:rPr>
                      <w:rFonts w:asciiTheme="minorHAnsi" w:hAnsiTheme="minorHAnsi" w:cstheme="minorHAnsi"/>
                      <w:b/>
                      <w:bCs/>
                      <w:color w:val="auto"/>
                      <w:sz w:val="18"/>
                      <w:szCs w:val="18"/>
                      <w:lang w:val="sk-SK"/>
                    </w:rPr>
                    <w:t>je nepriamo naviazaný na ciele projektu, t j. nie je hlavným, ale je podporným nástrojom predmetu činnosti projektu</w:t>
                  </w:r>
                  <w:r w:rsidRPr="00642032">
                    <w:rPr>
                      <w:rFonts w:asciiTheme="minorHAnsi" w:hAnsiTheme="minorHAnsi" w:cstheme="minorHAnsi"/>
                      <w:bCs/>
                      <w:color w:val="auto"/>
                      <w:sz w:val="18"/>
                      <w:szCs w:val="18"/>
                    </w:rPr>
                    <w:t>, pričom musia byť kumulatívne splnené nasledovné podmienky:</w:t>
                  </w:r>
                </w:p>
                <w:p w14:paraId="7645988E" w14:textId="77777777" w:rsidR="00642032" w:rsidRPr="00642032" w:rsidRDefault="00642032" w:rsidP="00642032">
                  <w:pPr>
                    <w:pStyle w:val="Default"/>
                    <w:widowControl w:val="0"/>
                    <w:numPr>
                      <w:ilvl w:val="0"/>
                      <w:numId w:val="66"/>
                    </w:numPr>
                    <w:spacing w:before="120"/>
                    <w:ind w:left="883" w:right="85"/>
                    <w:jc w:val="both"/>
                    <w:rPr>
                      <w:rFonts w:asciiTheme="minorHAnsi" w:hAnsiTheme="minorHAnsi" w:cstheme="minorHAnsi"/>
                      <w:bCs/>
                      <w:color w:val="auto"/>
                      <w:sz w:val="18"/>
                      <w:szCs w:val="18"/>
                      <w:lang w:val="sk-SK"/>
                    </w:rPr>
                  </w:pPr>
                  <w:r w:rsidRPr="00642032">
                    <w:rPr>
                      <w:rFonts w:asciiTheme="minorHAnsi" w:hAnsiTheme="minorHAnsi" w:cstheme="minorHAnsi"/>
                      <w:bCs/>
                      <w:color w:val="auto"/>
                      <w:sz w:val="18"/>
                      <w:szCs w:val="18"/>
                    </w:rPr>
                    <w:t>predmetom projektu sú aj iné výdavky, ktoré sú priamo previazané na ciele projektu, t.j. sú hlavnými nástrojmi pre predmet činnosti projektu na poskytovanie služieb/výrobu výrobkov</w:t>
                  </w:r>
                </w:p>
                <w:p w14:paraId="66FA7EE3" w14:textId="77777777" w:rsidR="00642032" w:rsidRPr="00642032" w:rsidRDefault="00642032" w:rsidP="00642032">
                  <w:pPr>
                    <w:pStyle w:val="Default"/>
                    <w:widowControl w:val="0"/>
                    <w:numPr>
                      <w:ilvl w:val="0"/>
                      <w:numId w:val="66"/>
                    </w:numPr>
                    <w:spacing w:before="120"/>
                    <w:ind w:left="883" w:right="85"/>
                    <w:jc w:val="both"/>
                    <w:rPr>
                      <w:rFonts w:asciiTheme="minorHAnsi" w:hAnsiTheme="minorHAnsi" w:cstheme="minorHAnsi"/>
                      <w:bCs/>
                      <w:color w:val="auto"/>
                      <w:sz w:val="18"/>
                      <w:szCs w:val="18"/>
                      <w:u w:val="single"/>
                      <w:lang w:val="sk-SK"/>
                    </w:rPr>
                  </w:pPr>
                  <w:r w:rsidRPr="00642032">
                    <w:rPr>
                      <w:rFonts w:asciiTheme="minorHAnsi" w:hAnsiTheme="minorHAnsi" w:cstheme="minorHAnsi"/>
                      <w:bCs/>
                      <w:color w:val="auto"/>
                      <w:sz w:val="18"/>
                      <w:szCs w:val="18"/>
                    </w:rPr>
                    <w:lastRenderedPageBreak/>
                    <w:t xml:space="preserve">automobil priamo podporuje produkt (poskytovanie služby, výrobu výrobkov), ktorý je predmetom činnosti projektu a je účelný vo vzťahu k cieľom projektu (t.j. je nevyhnutný na poskytovanie takéhoto typu služby/výrobu takéhoto typu výrobku) a/alebo nevyhnutný na poskytovanie služby/výrobu výrobku v cielenej kvalite)                     </w:t>
                  </w:r>
                </w:p>
                <w:p w14:paraId="32E2BBAF" w14:textId="77777777" w:rsidR="00642032" w:rsidRPr="00642032" w:rsidRDefault="00642032" w:rsidP="00642032">
                  <w:pPr>
                    <w:pStyle w:val="Default"/>
                    <w:widowControl w:val="0"/>
                    <w:numPr>
                      <w:ilvl w:val="0"/>
                      <w:numId w:val="66"/>
                    </w:numPr>
                    <w:spacing w:before="120"/>
                    <w:ind w:left="883" w:right="85"/>
                    <w:jc w:val="both"/>
                    <w:rPr>
                      <w:rFonts w:asciiTheme="minorHAnsi" w:hAnsiTheme="minorHAnsi" w:cstheme="minorHAnsi"/>
                      <w:bCs/>
                      <w:color w:val="auto"/>
                      <w:sz w:val="18"/>
                      <w:szCs w:val="18"/>
                      <w:lang w:val="sk-SK"/>
                    </w:rPr>
                  </w:pPr>
                  <w:r w:rsidRPr="00642032">
                    <w:rPr>
                      <w:rFonts w:asciiTheme="minorHAnsi" w:hAnsiTheme="minorHAnsi" w:cstheme="minorHAnsi"/>
                      <w:bCs/>
                      <w:color w:val="auto"/>
                      <w:sz w:val="18"/>
                      <w:szCs w:val="18"/>
                    </w:rPr>
                    <w:t xml:space="preserve">je automobil špeciálne prispôsobený na tento účel, t.j. ide o vozidlo, ktoré ma prepravný priestor na prevoz potrebných nástrojov, ktoré sú hlavným predmetom činnosti projektu </w:t>
                  </w:r>
                </w:p>
                <w:p w14:paraId="3F46EDA9" w14:textId="77777777" w:rsidR="00642032" w:rsidRPr="00642032" w:rsidRDefault="00642032" w:rsidP="00642032">
                  <w:pPr>
                    <w:pStyle w:val="Default"/>
                    <w:widowControl w:val="0"/>
                    <w:spacing w:before="120"/>
                    <w:ind w:right="85"/>
                    <w:jc w:val="both"/>
                    <w:rPr>
                      <w:rFonts w:asciiTheme="minorHAnsi" w:hAnsiTheme="minorHAnsi" w:cstheme="minorHAnsi"/>
                      <w:b/>
                      <w:bCs/>
                      <w:color w:val="auto"/>
                      <w:sz w:val="18"/>
                      <w:szCs w:val="18"/>
                      <w:lang w:val="sk-SK"/>
                    </w:rPr>
                  </w:pPr>
                </w:p>
                <w:p w14:paraId="1F183201" w14:textId="77777777" w:rsidR="00642032" w:rsidRPr="00642032" w:rsidRDefault="00642032" w:rsidP="00642032">
                  <w:pPr>
                    <w:pStyle w:val="Default"/>
                    <w:widowControl w:val="0"/>
                    <w:spacing w:before="120"/>
                    <w:ind w:right="85"/>
                    <w:jc w:val="both"/>
                    <w:rPr>
                      <w:rFonts w:asciiTheme="minorHAnsi" w:hAnsiTheme="minorHAnsi" w:cstheme="minorHAnsi"/>
                      <w:b/>
                      <w:bCs/>
                      <w:color w:val="auto"/>
                      <w:sz w:val="16"/>
                      <w:szCs w:val="16"/>
                      <w:lang w:val="sk-SK"/>
                    </w:rPr>
                  </w:pPr>
                  <w:r w:rsidRPr="00642032">
                    <w:rPr>
                      <w:rFonts w:asciiTheme="minorHAnsi" w:hAnsiTheme="minorHAnsi" w:cstheme="minorHAnsi"/>
                      <w:b/>
                      <w:bCs/>
                      <w:color w:val="auto"/>
                      <w:sz w:val="16"/>
                      <w:szCs w:val="16"/>
                      <w:lang w:val="sk-SK"/>
                    </w:rPr>
                    <w:t>Oprávnené typy vozidiel:  úžitkové vozidlá</w:t>
                  </w:r>
                  <w:r w:rsidRPr="00642032">
                    <w:rPr>
                      <w:rStyle w:val="Odkaznapoznmkupodiarou"/>
                      <w:rFonts w:asciiTheme="minorHAnsi" w:eastAsiaTheme="minorEastAsia" w:hAnsiTheme="minorHAnsi" w:cstheme="minorHAnsi"/>
                      <w:b/>
                      <w:bCs/>
                      <w:color w:val="auto"/>
                      <w:sz w:val="20"/>
                      <w:szCs w:val="20"/>
                      <w:lang w:val="sk-SK"/>
                    </w:rPr>
                    <w:footnoteReference w:id="2"/>
                  </w:r>
                  <w:r w:rsidRPr="00642032">
                    <w:rPr>
                      <w:rFonts w:asciiTheme="minorHAnsi" w:hAnsiTheme="minorHAnsi" w:cstheme="minorHAnsi"/>
                      <w:b/>
                      <w:bCs/>
                      <w:color w:val="auto"/>
                      <w:sz w:val="16"/>
                      <w:szCs w:val="16"/>
                      <w:lang w:val="sk-SK"/>
                    </w:rPr>
                    <w:t xml:space="preserve"> </w:t>
                  </w:r>
                </w:p>
                <w:p w14:paraId="7E432062" w14:textId="77777777" w:rsidR="00642032" w:rsidRPr="00642032" w:rsidRDefault="00642032" w:rsidP="00642032">
                  <w:pPr>
                    <w:pStyle w:val="Default"/>
                    <w:widowControl w:val="0"/>
                    <w:spacing w:before="120"/>
                    <w:ind w:right="85"/>
                    <w:jc w:val="both"/>
                    <w:rPr>
                      <w:rFonts w:asciiTheme="minorHAnsi" w:hAnsiTheme="minorHAnsi" w:cstheme="minorHAnsi"/>
                      <w:bCs/>
                      <w:color w:val="auto"/>
                      <w:sz w:val="18"/>
                      <w:szCs w:val="18"/>
                      <w:lang w:val="sk-SK"/>
                    </w:rPr>
                  </w:pPr>
                  <w:r w:rsidRPr="00642032">
                    <w:rPr>
                      <w:rFonts w:asciiTheme="minorHAnsi" w:hAnsiTheme="minorHAnsi" w:cstheme="minorHAnsi"/>
                      <w:bCs/>
                      <w:color w:val="auto"/>
                      <w:sz w:val="18"/>
                      <w:szCs w:val="18"/>
                      <w:lang w:val="sk-SK"/>
                    </w:rPr>
                    <w:t xml:space="preserve">Úžitkové vozidlo na účely oprávnenosti nákupu automobilov v rámci aktivity A1  predstavuje  motorové vozidlo a jeho prípojné vozidlo alebo náves, ktoré sa používajú </w:t>
                  </w:r>
                  <w:r w:rsidRPr="00642032">
                    <w:rPr>
                      <w:rFonts w:asciiTheme="minorHAnsi" w:hAnsiTheme="minorHAnsi" w:cstheme="minorHAnsi"/>
                      <w:bCs/>
                      <w:color w:val="auto"/>
                      <w:sz w:val="18"/>
                      <w:szCs w:val="18"/>
                      <w:u w:val="single"/>
                      <w:lang w:val="sk-SK"/>
                    </w:rPr>
                    <w:t xml:space="preserve">najmä na prepravu tovaru </w:t>
                  </w:r>
                  <w:r w:rsidRPr="00642032">
                    <w:rPr>
                      <w:rFonts w:asciiTheme="minorHAnsi" w:hAnsiTheme="minorHAnsi" w:cstheme="minorHAnsi"/>
                      <w:bCs/>
                      <w:color w:val="auto"/>
                      <w:sz w:val="18"/>
                      <w:szCs w:val="18"/>
                      <w:lang w:val="sk-SK"/>
                    </w:rPr>
                    <w:t xml:space="preserve">alebo cestujúcich </w:t>
                  </w:r>
                  <w:r w:rsidRPr="00642032">
                    <w:rPr>
                      <w:rFonts w:asciiTheme="minorHAnsi" w:hAnsiTheme="minorHAnsi" w:cstheme="minorHAnsi"/>
                      <w:bCs/>
                      <w:color w:val="auto"/>
                      <w:sz w:val="18"/>
                      <w:szCs w:val="18"/>
                      <w:u w:val="single"/>
                      <w:lang w:val="sk-SK"/>
                    </w:rPr>
                    <w:t>na komerčné účely</w:t>
                  </w:r>
                  <w:r w:rsidRPr="00642032">
                    <w:rPr>
                      <w:rFonts w:asciiTheme="minorHAnsi" w:hAnsiTheme="minorHAnsi" w:cstheme="minorHAnsi"/>
                      <w:bCs/>
                      <w:color w:val="auto"/>
                      <w:sz w:val="18"/>
                      <w:szCs w:val="18"/>
                    </w:rPr>
                    <w:t>, napr. doprava pre vlastné potreby, alebo na iné podnikateľské účely.</w:t>
                  </w:r>
                </w:p>
                <w:p w14:paraId="703E4F80" w14:textId="77777777" w:rsidR="00642032" w:rsidRPr="00642032" w:rsidRDefault="00642032" w:rsidP="00642032">
                  <w:pPr>
                    <w:pStyle w:val="Default"/>
                    <w:widowControl w:val="0"/>
                    <w:spacing w:before="120"/>
                    <w:ind w:right="85"/>
                    <w:jc w:val="both"/>
                    <w:rPr>
                      <w:rFonts w:asciiTheme="minorHAnsi" w:hAnsiTheme="minorHAnsi" w:cstheme="minorHAnsi"/>
                      <w:bCs/>
                      <w:color w:val="auto"/>
                      <w:sz w:val="18"/>
                      <w:szCs w:val="18"/>
                      <w:lang w:val="sk-SK"/>
                    </w:rPr>
                  </w:pPr>
                  <w:r w:rsidRPr="00642032">
                    <w:rPr>
                      <w:rFonts w:asciiTheme="minorHAnsi" w:hAnsiTheme="minorHAnsi" w:cstheme="minorHAnsi"/>
                      <w:bCs/>
                      <w:color w:val="auto"/>
                      <w:sz w:val="18"/>
                      <w:szCs w:val="18"/>
                    </w:rPr>
                    <w:t>Za oprávnené automobily</w:t>
                  </w:r>
                  <w:r w:rsidRPr="00642032">
                    <w:rPr>
                      <w:rFonts w:asciiTheme="minorHAnsi" w:hAnsiTheme="minorHAnsi" w:cstheme="minorHAnsi"/>
                      <w:bCs/>
                      <w:color w:val="auto"/>
                      <w:sz w:val="18"/>
                      <w:szCs w:val="18"/>
                      <w:lang w:val="sk-SK"/>
                    </w:rPr>
                    <w:t xml:space="preserve"> sa považujú najmä nasledovné úžitkové vozidlá:</w:t>
                  </w:r>
                </w:p>
                <w:p w14:paraId="217CE41A" w14:textId="77777777" w:rsidR="00642032" w:rsidRPr="00642032" w:rsidRDefault="00642032" w:rsidP="00642032">
                  <w:pPr>
                    <w:pStyle w:val="Default"/>
                    <w:widowControl w:val="0"/>
                    <w:numPr>
                      <w:ilvl w:val="0"/>
                      <w:numId w:val="69"/>
                    </w:numPr>
                    <w:spacing w:before="120"/>
                    <w:ind w:right="85"/>
                    <w:jc w:val="both"/>
                    <w:rPr>
                      <w:rFonts w:asciiTheme="minorHAnsi" w:hAnsiTheme="minorHAnsi" w:cstheme="minorHAnsi"/>
                      <w:bCs/>
                      <w:color w:val="auto"/>
                      <w:sz w:val="18"/>
                      <w:szCs w:val="18"/>
                      <w:lang w:val="sk-SK"/>
                    </w:rPr>
                  </w:pPr>
                  <w:r w:rsidRPr="00642032">
                    <w:rPr>
                      <w:rFonts w:asciiTheme="minorHAnsi" w:hAnsiTheme="minorHAnsi" w:cstheme="minorHAnsi"/>
                      <w:bCs/>
                      <w:color w:val="auto"/>
                      <w:sz w:val="18"/>
                      <w:szCs w:val="18"/>
                      <w:lang w:val="sk-SK"/>
                    </w:rPr>
                    <w:t>motorové vozidlá navrhnuté a konštruované najmä na prepravu osôb a ich batožiny s viac než ôsmimi miestami na sedenie okrem miesta na sedenie vodiča;</w:t>
                  </w:r>
                </w:p>
                <w:p w14:paraId="4F478400" w14:textId="77777777" w:rsidR="00642032" w:rsidRPr="00642032" w:rsidRDefault="00642032" w:rsidP="00642032">
                  <w:pPr>
                    <w:pStyle w:val="Default"/>
                    <w:widowControl w:val="0"/>
                    <w:numPr>
                      <w:ilvl w:val="0"/>
                      <w:numId w:val="69"/>
                    </w:numPr>
                    <w:spacing w:before="120"/>
                    <w:ind w:right="85"/>
                    <w:jc w:val="both"/>
                    <w:rPr>
                      <w:rFonts w:asciiTheme="minorHAnsi" w:hAnsiTheme="minorHAnsi" w:cstheme="minorHAnsi"/>
                      <w:bCs/>
                      <w:color w:val="auto"/>
                      <w:sz w:val="18"/>
                      <w:szCs w:val="18"/>
                      <w:lang w:val="sk-SK"/>
                    </w:rPr>
                  </w:pPr>
                  <w:r w:rsidRPr="00642032">
                    <w:rPr>
                      <w:rFonts w:asciiTheme="minorHAnsi" w:hAnsiTheme="minorHAnsi" w:cstheme="minorHAnsi"/>
                      <w:bCs/>
                      <w:color w:val="auto"/>
                      <w:sz w:val="18"/>
                      <w:szCs w:val="18"/>
                      <w:lang w:val="sk-SK"/>
                    </w:rPr>
                    <w:t>motorové vozidlá navrhnuté a konštruované najmä na pre</w:t>
                  </w:r>
                  <w:r w:rsidRPr="00642032">
                    <w:rPr>
                      <w:rFonts w:asciiTheme="minorHAnsi" w:hAnsiTheme="minorHAnsi" w:cstheme="minorHAnsi"/>
                      <w:bCs/>
                      <w:color w:val="auto"/>
                      <w:sz w:val="18"/>
                      <w:szCs w:val="18"/>
                    </w:rPr>
                    <w:t xml:space="preserve">pravu tovarov a/alebo nákladu, s celkovou hmotnosťou do 3,5 tony; </w:t>
                  </w:r>
                </w:p>
                <w:p w14:paraId="059FC394" w14:textId="77777777" w:rsidR="00642032" w:rsidRPr="00642032" w:rsidRDefault="00642032" w:rsidP="00642032">
                  <w:pPr>
                    <w:pStyle w:val="Default"/>
                    <w:widowControl w:val="0"/>
                    <w:numPr>
                      <w:ilvl w:val="0"/>
                      <w:numId w:val="69"/>
                    </w:numPr>
                    <w:spacing w:before="120"/>
                    <w:ind w:right="85"/>
                    <w:jc w:val="both"/>
                    <w:rPr>
                      <w:rFonts w:asciiTheme="minorHAnsi" w:hAnsiTheme="minorHAnsi" w:cstheme="minorHAnsi"/>
                      <w:bCs/>
                      <w:color w:val="auto"/>
                      <w:sz w:val="18"/>
                      <w:szCs w:val="18"/>
                      <w:lang w:val="sk-SK"/>
                    </w:rPr>
                  </w:pPr>
                  <w:r w:rsidRPr="00642032">
                    <w:rPr>
                      <w:rFonts w:asciiTheme="minorHAnsi" w:hAnsiTheme="minorHAnsi" w:cstheme="minorHAnsi"/>
                      <w:bCs/>
                      <w:color w:val="auto"/>
                      <w:sz w:val="18"/>
                      <w:szCs w:val="18"/>
                    </w:rPr>
                    <w:t>motorové vozidlá navrhnuté a konštruované najmä na prepravu tovaru s celkovou hmotnosťou presahujúcou 3,5 tony;</w:t>
                  </w:r>
                </w:p>
                <w:p w14:paraId="5D1EB47E" w14:textId="77777777" w:rsidR="00642032" w:rsidRPr="00642032" w:rsidRDefault="00642032" w:rsidP="00642032">
                  <w:pPr>
                    <w:pStyle w:val="Odsekzoznamu"/>
                    <w:numPr>
                      <w:ilvl w:val="0"/>
                      <w:numId w:val="69"/>
                    </w:numPr>
                    <w:spacing w:before="120" w:after="0" w:line="240" w:lineRule="auto"/>
                    <w:ind w:left="924" w:hanging="357"/>
                    <w:rPr>
                      <w:rFonts w:asciiTheme="minorHAnsi" w:hAnsiTheme="minorHAnsi" w:cstheme="minorHAnsi"/>
                      <w:bCs/>
                      <w:sz w:val="18"/>
                      <w:szCs w:val="18"/>
                      <w:lang w:val="sk-SK"/>
                    </w:rPr>
                  </w:pPr>
                  <w:r w:rsidRPr="00642032">
                    <w:rPr>
                      <w:rFonts w:asciiTheme="minorHAnsi" w:hAnsiTheme="minorHAnsi" w:cstheme="minorHAnsi"/>
                      <w:bCs/>
                      <w:sz w:val="18"/>
                      <w:szCs w:val="18"/>
                      <w:lang w:val="sk-SK"/>
                    </w:rPr>
                    <w:t>prípojné vozidlá navrhnuté a konštruované na prepravu tovaru alebo osôb, ako aj na ubytovanie osôb, s celkovou hmotnosťou do 3,5 tony;</w:t>
                  </w:r>
                </w:p>
                <w:p w14:paraId="7DFF3AA8" w14:textId="77777777" w:rsidR="00642032" w:rsidRPr="00642032" w:rsidRDefault="00642032" w:rsidP="00642032">
                  <w:pPr>
                    <w:pStyle w:val="Default"/>
                    <w:widowControl w:val="0"/>
                    <w:numPr>
                      <w:ilvl w:val="0"/>
                      <w:numId w:val="69"/>
                    </w:numPr>
                    <w:spacing w:before="120"/>
                    <w:ind w:right="85"/>
                    <w:jc w:val="both"/>
                    <w:rPr>
                      <w:rFonts w:asciiTheme="minorHAnsi" w:hAnsiTheme="minorHAnsi" w:cstheme="minorHAnsi"/>
                      <w:bCs/>
                      <w:color w:val="auto"/>
                      <w:sz w:val="18"/>
                      <w:szCs w:val="18"/>
                      <w:lang w:val="sk-SK"/>
                    </w:rPr>
                  </w:pPr>
                  <w:r w:rsidRPr="00642032">
                    <w:rPr>
                      <w:rFonts w:asciiTheme="minorHAnsi" w:hAnsiTheme="minorHAnsi" w:cstheme="minorHAnsi"/>
                      <w:bCs/>
                      <w:color w:val="auto"/>
                      <w:sz w:val="18"/>
                      <w:szCs w:val="18"/>
                      <w:lang w:val="sk-SK"/>
                    </w:rPr>
                    <w:t xml:space="preserve">prípojné vozidlá navrhnuté a konštruované na prepravu tovaru alebo osôb, ako aj na ubytovanie osôb, s celkovou hmotnosťou presahujúcou 3,5 tony </w:t>
                  </w:r>
                </w:p>
                <w:p w14:paraId="437A4D05" w14:textId="77777777" w:rsidR="00642032" w:rsidRPr="00642032" w:rsidRDefault="00642032" w:rsidP="00642032">
                  <w:pPr>
                    <w:pStyle w:val="Default"/>
                    <w:widowControl w:val="0"/>
                    <w:spacing w:before="120"/>
                    <w:ind w:right="85"/>
                    <w:jc w:val="both"/>
                    <w:rPr>
                      <w:rFonts w:asciiTheme="minorHAnsi" w:hAnsiTheme="minorHAnsi" w:cstheme="minorHAnsi"/>
                      <w:bCs/>
                      <w:color w:val="auto"/>
                      <w:sz w:val="18"/>
                      <w:szCs w:val="18"/>
                      <w:lang w:val="sk-SK"/>
                    </w:rPr>
                  </w:pPr>
                  <w:r w:rsidRPr="00642032">
                    <w:rPr>
                      <w:rFonts w:asciiTheme="minorHAnsi" w:hAnsiTheme="minorHAnsi" w:cstheme="minorHAnsi"/>
                      <w:bCs/>
                      <w:color w:val="auto"/>
                      <w:sz w:val="18"/>
                      <w:szCs w:val="18"/>
                      <w:highlight w:val="yellow"/>
                      <w:lang w:val="sk-SK"/>
                    </w:rPr>
                    <w:t xml:space="preserve">  </w:t>
                  </w:r>
                </w:p>
                <w:p w14:paraId="45E99ABF" w14:textId="77777777" w:rsidR="00642032" w:rsidRPr="00642032" w:rsidRDefault="00642032" w:rsidP="00642032">
                  <w:pPr>
                    <w:rPr>
                      <w:rFonts w:asciiTheme="minorHAnsi" w:hAnsiTheme="minorHAnsi" w:cstheme="minorHAnsi"/>
                      <w:b/>
                      <w:bCs/>
                      <w:sz w:val="18"/>
                      <w:szCs w:val="18"/>
                      <w:u w:val="single"/>
                      <w:lang w:val="sk-SK"/>
                    </w:rPr>
                  </w:pPr>
                  <w:r w:rsidRPr="00642032">
                    <w:rPr>
                      <w:rFonts w:asciiTheme="minorHAnsi" w:hAnsiTheme="minorHAnsi" w:cstheme="minorHAnsi"/>
                      <w:b/>
                      <w:sz w:val="18"/>
                      <w:szCs w:val="18"/>
                      <w:lang w:val="sk-SK"/>
                    </w:rPr>
                    <w:t xml:space="preserve">  </w:t>
                  </w:r>
                  <w:r w:rsidRPr="00642032">
                    <w:rPr>
                      <w:rFonts w:asciiTheme="minorHAnsi" w:hAnsiTheme="minorHAnsi" w:cstheme="minorHAnsi"/>
                      <w:b/>
                      <w:bCs/>
                      <w:sz w:val="18"/>
                      <w:szCs w:val="18"/>
                      <w:u w:val="single"/>
                      <w:lang w:val="sk-SK"/>
                    </w:rPr>
                    <w:t>Nákup iných dopravných prostriedkov  je oprávnený  v prípade, ak ide o:</w:t>
                  </w:r>
                </w:p>
                <w:p w14:paraId="2DE27ABD" w14:textId="77777777" w:rsidR="00642032" w:rsidRPr="00642032" w:rsidRDefault="00642032" w:rsidP="00642032">
                  <w:pPr>
                    <w:pStyle w:val="Default"/>
                    <w:widowControl w:val="0"/>
                    <w:numPr>
                      <w:ilvl w:val="0"/>
                      <w:numId w:val="67"/>
                    </w:numPr>
                    <w:spacing w:before="120"/>
                    <w:ind w:left="453" w:right="85" w:hanging="357"/>
                    <w:jc w:val="both"/>
                    <w:rPr>
                      <w:rFonts w:asciiTheme="minorHAnsi" w:hAnsiTheme="minorHAnsi" w:cstheme="minorHAnsi"/>
                      <w:color w:val="auto"/>
                      <w:sz w:val="18"/>
                      <w:szCs w:val="18"/>
                      <w:lang w:val="sk-SK"/>
                    </w:rPr>
                  </w:pPr>
                  <w:r w:rsidRPr="00642032">
                    <w:rPr>
                      <w:rFonts w:asciiTheme="minorHAnsi" w:hAnsiTheme="minorHAnsi" w:cstheme="minorHAnsi"/>
                      <w:color w:val="auto"/>
                      <w:sz w:val="18"/>
                      <w:szCs w:val="18"/>
                      <w:lang w:val="sk-SK"/>
                    </w:rPr>
                    <w:t xml:space="preserve">dopravné prostriedky, ktoré majú </w:t>
                  </w:r>
                  <w:r w:rsidRPr="00642032">
                    <w:rPr>
                      <w:rFonts w:asciiTheme="minorHAnsi" w:hAnsiTheme="minorHAnsi" w:cstheme="minorHAnsi"/>
                      <w:b/>
                      <w:color w:val="auto"/>
                      <w:sz w:val="18"/>
                      <w:szCs w:val="18"/>
                      <w:lang w:val="sk-SK"/>
                    </w:rPr>
                    <w:t>špeciálny účel</w:t>
                  </w:r>
                  <w:r w:rsidRPr="00642032">
                    <w:rPr>
                      <w:rFonts w:asciiTheme="minorHAnsi" w:hAnsiTheme="minorHAnsi" w:cstheme="minorHAnsi"/>
                      <w:color w:val="auto"/>
                      <w:sz w:val="18"/>
                      <w:szCs w:val="18"/>
                      <w:lang w:val="sk-SK"/>
                    </w:rPr>
                    <w:t xml:space="preserve"> (napr. odťahové vozidlo, atď.)</w:t>
                  </w:r>
                </w:p>
                <w:p w14:paraId="648B66F8" w14:textId="77777777" w:rsidR="00642032" w:rsidRPr="00642032" w:rsidRDefault="00642032" w:rsidP="00642032">
                  <w:pPr>
                    <w:pStyle w:val="Default"/>
                    <w:widowControl w:val="0"/>
                    <w:numPr>
                      <w:ilvl w:val="0"/>
                      <w:numId w:val="67"/>
                    </w:numPr>
                    <w:spacing w:before="120"/>
                    <w:ind w:left="517" w:right="85" w:hanging="426"/>
                    <w:jc w:val="both"/>
                    <w:rPr>
                      <w:rFonts w:asciiTheme="minorHAnsi" w:hAnsiTheme="minorHAnsi" w:cstheme="minorHAnsi"/>
                      <w:color w:val="auto"/>
                      <w:sz w:val="18"/>
                      <w:szCs w:val="18"/>
                      <w:lang w:val="sk-SK"/>
                    </w:rPr>
                  </w:pPr>
                  <w:r w:rsidRPr="00642032">
                    <w:rPr>
                      <w:rFonts w:asciiTheme="minorHAnsi" w:hAnsiTheme="minorHAnsi" w:cstheme="minorHAnsi"/>
                      <w:color w:val="auto"/>
                      <w:sz w:val="18"/>
                      <w:szCs w:val="18"/>
                    </w:rPr>
                    <w:t xml:space="preserve">nákladné vozidlá určené na prepravu materiálu, alebo tovaru pre účely žiadateľa, </w:t>
                  </w:r>
                  <w:r w:rsidRPr="00642032">
                    <w:rPr>
                      <w:rFonts w:asciiTheme="minorHAnsi" w:hAnsiTheme="minorHAnsi" w:cstheme="minorHAnsi"/>
                      <w:b/>
                      <w:color w:val="auto"/>
                      <w:sz w:val="18"/>
                      <w:szCs w:val="18"/>
                    </w:rPr>
                    <w:t>n</w:t>
                  </w:r>
                  <w:r w:rsidRPr="00642032">
                    <w:rPr>
                      <w:rFonts w:asciiTheme="minorHAnsi" w:hAnsiTheme="minorHAnsi" w:cstheme="minorHAnsi"/>
                      <w:b/>
                      <w:bCs/>
                      <w:color w:val="auto"/>
                      <w:sz w:val="18"/>
                      <w:szCs w:val="18"/>
                    </w:rPr>
                    <w:t xml:space="preserve">ákup vozidiel cestnej nákladnej dopravy </w:t>
                  </w:r>
                  <w:r w:rsidRPr="00642032">
                    <w:rPr>
                      <w:rFonts w:asciiTheme="minorHAnsi" w:hAnsiTheme="minorHAnsi" w:cstheme="minorHAnsi"/>
                      <w:b/>
                      <w:bCs/>
                      <w:color w:val="auto"/>
                      <w:sz w:val="18"/>
                      <w:szCs w:val="18"/>
                      <w:u w:val="single"/>
                    </w:rPr>
                    <w:t xml:space="preserve">pre </w:t>
                  </w:r>
                  <w:r w:rsidRPr="00642032">
                    <w:rPr>
                      <w:rFonts w:asciiTheme="minorHAnsi" w:hAnsiTheme="minorHAnsi" w:cstheme="minorHAnsi"/>
                      <w:b/>
                      <w:color w:val="auto"/>
                      <w:sz w:val="18"/>
                      <w:szCs w:val="18"/>
                      <w:u w:val="single"/>
                    </w:rPr>
                    <w:t xml:space="preserve">žiadateľov, ktorí pôsobia v oblasti cestnej nákladnej dopravy, </w:t>
                  </w:r>
                  <w:r w:rsidRPr="00642032">
                    <w:rPr>
                      <w:rFonts w:asciiTheme="minorHAnsi" w:hAnsiTheme="minorHAnsi" w:cstheme="minorHAnsi"/>
                      <w:b/>
                      <w:bCs/>
                      <w:color w:val="auto"/>
                      <w:sz w:val="18"/>
                      <w:szCs w:val="18"/>
                      <w:u w:val="single"/>
                    </w:rPr>
                    <w:t>nie je oprávnený</w:t>
                  </w:r>
                  <w:r w:rsidRPr="00642032">
                    <w:rPr>
                      <w:rFonts w:asciiTheme="minorHAnsi" w:hAnsiTheme="minorHAnsi" w:cstheme="minorHAnsi"/>
                      <w:b/>
                      <w:color w:val="auto"/>
                      <w:sz w:val="18"/>
                      <w:szCs w:val="18"/>
                      <w:u w:val="single"/>
                    </w:rPr>
                    <w:t xml:space="preserve">. </w:t>
                  </w:r>
                </w:p>
                <w:p w14:paraId="2A715DC7" w14:textId="3F95D095" w:rsidR="00402F5D" w:rsidRDefault="00402F5D" w:rsidP="00402F5D">
                  <w:pPr>
                    <w:pStyle w:val="Default"/>
                    <w:widowControl w:val="0"/>
                    <w:ind w:left="178" w:right="85"/>
                    <w:jc w:val="both"/>
                    <w:rPr>
                      <w:rFonts w:asciiTheme="minorHAnsi" w:hAnsiTheme="minorHAnsi" w:cstheme="minorHAnsi"/>
                      <w:color w:val="auto"/>
                      <w:sz w:val="19"/>
                      <w:szCs w:val="19"/>
                    </w:rPr>
                  </w:pPr>
                </w:p>
              </w:tc>
            </w:tr>
            <w:tr w:rsidR="00402F5D" w14:paraId="11BE1F94" w14:textId="77777777" w:rsidTr="00402F5D">
              <w:trPr>
                <w:trHeight w:val="337"/>
              </w:trPr>
              <w:tc>
                <w:tcPr>
                  <w:tcW w:w="421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hideMark/>
                </w:tcPr>
                <w:p w14:paraId="3704A82E" w14:textId="77777777" w:rsidR="00402F5D" w:rsidRDefault="00402F5D" w:rsidP="00402F5D">
                  <w:pPr>
                    <w:pStyle w:val="Default"/>
                    <w:widowControl w:val="0"/>
                    <w:ind w:left="85" w:right="85"/>
                    <w:rPr>
                      <w:rFonts w:asciiTheme="minorHAnsi" w:hAnsiTheme="minorHAnsi" w:cstheme="minorHAnsi"/>
                      <w:color w:val="auto"/>
                      <w:sz w:val="19"/>
                      <w:szCs w:val="19"/>
                    </w:rPr>
                  </w:pPr>
                  <w:r>
                    <w:rPr>
                      <w:rFonts w:asciiTheme="minorHAnsi" w:hAnsiTheme="minorHAnsi" w:cstheme="minorHAnsi"/>
                      <w:sz w:val="19"/>
                      <w:szCs w:val="19"/>
                    </w:rPr>
                    <w:lastRenderedPageBreak/>
                    <w:t>029 - Ostatný dlhodobý hmotný majetok vo výške obstarávacej ceny</w:t>
                  </w:r>
                </w:p>
              </w:tc>
              <w:tc>
                <w:tcPr>
                  <w:tcW w:w="601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hideMark/>
                </w:tcPr>
                <w:p w14:paraId="48B4B82A" w14:textId="77777777" w:rsidR="00402F5D" w:rsidRDefault="00402F5D" w:rsidP="00402F5D">
                  <w:pPr>
                    <w:pStyle w:val="Default"/>
                    <w:widowControl w:val="0"/>
                    <w:numPr>
                      <w:ilvl w:val="0"/>
                      <w:numId w:val="64"/>
                    </w:numPr>
                    <w:ind w:left="538" w:right="85"/>
                    <w:jc w:val="both"/>
                    <w:rPr>
                      <w:rFonts w:asciiTheme="minorHAnsi" w:hAnsiTheme="minorHAnsi" w:cstheme="minorHAnsi"/>
                      <w:color w:val="auto"/>
                      <w:sz w:val="19"/>
                      <w:szCs w:val="19"/>
                    </w:rPr>
                  </w:pPr>
                  <w:r>
                    <w:rPr>
                      <w:rFonts w:asciiTheme="minorHAnsi" w:hAnsiTheme="minorHAnsi" w:cstheme="minorHAnsi"/>
                      <w:sz w:val="19"/>
                      <w:szCs w:val="19"/>
                    </w:rPr>
                    <w:t>nákup prevádzkových/špeciálnych strojov, prístrojov, zariadení vrátane prvého zaškolenia obsluhy (napr. CNC stroje, brúsky, frézy a iné výrobné zariadenia),</w:t>
                  </w:r>
                </w:p>
                <w:p w14:paraId="5809F9B9" w14:textId="77777777" w:rsidR="00402F5D" w:rsidRDefault="00402F5D" w:rsidP="00402F5D">
                  <w:pPr>
                    <w:pStyle w:val="Default"/>
                    <w:widowControl w:val="0"/>
                    <w:numPr>
                      <w:ilvl w:val="0"/>
                      <w:numId w:val="64"/>
                    </w:numPr>
                    <w:ind w:left="538" w:right="85"/>
                    <w:jc w:val="both"/>
                    <w:rPr>
                      <w:rFonts w:asciiTheme="minorHAnsi" w:hAnsiTheme="minorHAnsi" w:cstheme="minorHAnsi"/>
                      <w:color w:val="auto"/>
                      <w:sz w:val="19"/>
                      <w:szCs w:val="19"/>
                    </w:rPr>
                  </w:pPr>
                  <w:r>
                    <w:rPr>
                      <w:rFonts w:asciiTheme="minorHAnsi" w:hAnsiTheme="minorHAnsi" w:cstheme="minorHAnsi"/>
                      <w:sz w:val="19"/>
                      <w:szCs w:val="19"/>
                    </w:rPr>
                    <w:t>nákup technológií alebo časti technológií tvoriacich navzájom funkčný celok,</w:t>
                  </w:r>
                </w:p>
              </w:tc>
            </w:tr>
            <w:tr w:rsidR="00402F5D" w14:paraId="29C848BD" w14:textId="77777777" w:rsidTr="00402F5D">
              <w:trPr>
                <w:trHeight w:val="233"/>
              </w:trPr>
              <w:tc>
                <w:tcPr>
                  <w:tcW w:w="421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hideMark/>
                </w:tcPr>
                <w:p w14:paraId="45CE1D6C" w14:textId="77777777" w:rsidR="00402F5D" w:rsidRDefault="00402F5D" w:rsidP="00402F5D">
                  <w:pPr>
                    <w:pStyle w:val="Default"/>
                    <w:widowControl w:val="0"/>
                    <w:ind w:left="85" w:right="85"/>
                    <w:rPr>
                      <w:rFonts w:asciiTheme="minorHAnsi" w:hAnsiTheme="minorHAnsi" w:cstheme="minorHAnsi"/>
                      <w:color w:val="auto"/>
                      <w:sz w:val="19"/>
                      <w:szCs w:val="19"/>
                    </w:rPr>
                  </w:pPr>
                  <w:r>
                    <w:rPr>
                      <w:rFonts w:asciiTheme="minorHAnsi" w:hAnsiTheme="minorHAnsi" w:cstheme="minorHAnsi"/>
                      <w:sz w:val="19"/>
                      <w:szCs w:val="19"/>
                    </w:rPr>
                    <w:t>518 - ostatné služby</w:t>
                  </w:r>
                </w:p>
              </w:tc>
              <w:tc>
                <w:tcPr>
                  <w:tcW w:w="601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F4B9BF8" w14:textId="77777777" w:rsidR="00402F5D" w:rsidRDefault="00402F5D" w:rsidP="00402F5D">
                  <w:pPr>
                    <w:pStyle w:val="Default"/>
                    <w:widowControl w:val="0"/>
                    <w:numPr>
                      <w:ilvl w:val="0"/>
                      <w:numId w:val="64"/>
                    </w:numPr>
                    <w:ind w:left="544"/>
                    <w:jc w:val="both"/>
                    <w:rPr>
                      <w:rFonts w:asciiTheme="minorHAnsi" w:hAnsiTheme="minorHAnsi" w:cstheme="minorHAnsi"/>
                      <w:color w:val="auto"/>
                      <w:sz w:val="19"/>
                      <w:szCs w:val="19"/>
                    </w:rPr>
                  </w:pPr>
                  <w:r>
                    <w:rPr>
                      <w:rFonts w:asciiTheme="minorHAnsi" w:hAnsiTheme="minorHAnsi" w:cstheme="minorHAnsi"/>
                      <w:sz w:val="19"/>
                      <w:szCs w:val="19"/>
                    </w:rPr>
                    <w:t>marketingové aktivity, podporujúce podnik rôznymi formami (letáky, reklamné pútače, inzercia a pod.),</w:t>
                  </w:r>
                </w:p>
                <w:p w14:paraId="62AB2380" w14:textId="77777777" w:rsidR="00402F5D" w:rsidRDefault="00402F5D" w:rsidP="00402F5D">
                  <w:pPr>
                    <w:pStyle w:val="Default"/>
                    <w:widowControl w:val="0"/>
                    <w:ind w:left="720"/>
                    <w:jc w:val="both"/>
                    <w:rPr>
                      <w:rFonts w:asciiTheme="minorHAnsi" w:hAnsiTheme="minorHAnsi" w:cstheme="minorHAnsi"/>
                      <w:color w:val="auto"/>
                      <w:sz w:val="19"/>
                      <w:szCs w:val="19"/>
                    </w:rPr>
                  </w:pPr>
                </w:p>
                <w:p w14:paraId="5A7DDE5C" w14:textId="77777777" w:rsidR="00402F5D" w:rsidRDefault="00402F5D" w:rsidP="00402F5D">
                  <w:pPr>
                    <w:pStyle w:val="Default"/>
                    <w:widowControl w:val="0"/>
                    <w:ind w:left="544"/>
                    <w:jc w:val="both"/>
                    <w:rPr>
                      <w:rFonts w:asciiTheme="minorHAnsi" w:hAnsiTheme="minorHAnsi" w:cstheme="minorHAnsi"/>
                      <w:color w:val="auto"/>
                      <w:sz w:val="19"/>
                      <w:szCs w:val="19"/>
                    </w:rPr>
                  </w:pPr>
                  <w:r>
                    <w:rPr>
                      <w:rFonts w:asciiTheme="minorHAnsi" w:hAnsiTheme="minorHAnsi" w:cstheme="minorHAnsi"/>
                      <w:b/>
                      <w:sz w:val="19"/>
                      <w:szCs w:val="19"/>
                    </w:rPr>
                    <w:t>Výdavky na marketingové aktivity</w:t>
                  </w:r>
                  <w:r>
                    <w:rPr>
                      <w:rFonts w:asciiTheme="minorHAnsi" w:hAnsiTheme="minorHAnsi" w:cstheme="minorHAnsi"/>
                      <w:sz w:val="19"/>
                      <w:szCs w:val="19"/>
                    </w:rPr>
                    <w:t xml:space="preserve"> </w:t>
                  </w:r>
                  <w:r>
                    <w:rPr>
                      <w:rFonts w:asciiTheme="minorHAnsi" w:hAnsiTheme="minorHAnsi" w:cstheme="minorHAnsi"/>
                      <w:b/>
                      <w:sz w:val="19"/>
                      <w:szCs w:val="19"/>
                    </w:rPr>
                    <w:t>sú oprávnené len v kombinácii s oprávnenými výdavkami uvedenými aspoň v rámci jednej inej skupiny výdavkov pre túto oprávnenú aktivitu a to maximálne do výšky 25% celkových oprávnených výdavkov projektu.</w:t>
                  </w:r>
                </w:p>
              </w:tc>
            </w:tr>
          </w:tbl>
          <w:p w14:paraId="66FD6B09" w14:textId="6C116962" w:rsidR="00402F5D" w:rsidRPr="00402F5D" w:rsidRDefault="00402F5D" w:rsidP="00402F5D">
            <w:pPr>
              <w:pStyle w:val="Odsekzoznamu"/>
              <w:widowControl w:val="0"/>
              <w:tabs>
                <w:tab w:val="center" w:pos="4831"/>
              </w:tabs>
              <w:spacing w:before="120" w:after="120" w:line="240" w:lineRule="auto"/>
              <w:ind w:left="85" w:right="85"/>
              <w:contextualSpacing w:val="0"/>
              <w:jc w:val="both"/>
              <w:rPr>
                <w:rFonts w:ascii="Arial" w:hAnsi="Arial" w:cs="Arial"/>
                <w:b/>
                <w:bCs/>
                <w:sz w:val="20"/>
                <w:szCs w:val="20"/>
              </w:rPr>
            </w:pPr>
          </w:p>
        </w:tc>
      </w:tr>
      <w:tr w:rsidR="00997F82" w:rsidRPr="00291D70" w14:paraId="08425E2F" w14:textId="77777777" w:rsidTr="00F10680">
        <w:tblPrEx>
          <w:shd w:val="clear" w:color="auto" w:fill="auto"/>
          <w:tblCellMar>
            <w:left w:w="57" w:type="dxa"/>
            <w:right w:w="57" w:type="dxa"/>
          </w:tblCellMar>
        </w:tblPrEx>
        <w:trPr>
          <w:trHeight w:val="287"/>
        </w:trPr>
        <w:tc>
          <w:tcPr>
            <w:tcW w:w="10351" w:type="dxa"/>
            <w:shd w:val="clear" w:color="auto" w:fill="F2F2F2" w:themeFill="background1" w:themeFillShade="F2"/>
            <w:vAlign w:val="center"/>
          </w:tcPr>
          <w:p w14:paraId="5780EE49" w14:textId="7C1B2098" w:rsidR="00997F82" w:rsidRPr="006D71F3" w:rsidRDefault="0064203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63E87">
              <w:rPr>
                <w:rFonts w:ascii="Arial" w:hAnsi="Arial" w:cs="Arial"/>
                <w:b/>
                <w:sz w:val="20"/>
                <w:szCs w:val="20"/>
              </w:rPr>
              <w:lastRenderedPageBreak/>
              <w:t xml:space="preserve">Podmienka, že žiadateľ nezačal </w:t>
            </w:r>
            <w:r w:rsidRPr="006E3DF9">
              <w:rPr>
                <w:rFonts w:ascii="Arial" w:hAnsi="Arial" w:cs="Arial"/>
                <w:b/>
                <w:sz w:val="20"/>
                <w:szCs w:val="20"/>
              </w:rPr>
              <w:t>realizáciu projektu</w:t>
            </w:r>
            <w:r w:rsidRPr="00263E87">
              <w:rPr>
                <w:rFonts w:ascii="Arial" w:hAnsi="Arial" w:cs="Arial"/>
                <w:b/>
                <w:sz w:val="20"/>
                <w:szCs w:val="20"/>
              </w:rPr>
              <w:t xml:space="preserve"> pred predložením ŽoPr na MAS</w:t>
            </w:r>
          </w:p>
        </w:tc>
      </w:tr>
      <w:tr w:rsidR="00997F82" w:rsidRPr="006A79F0" w14:paraId="106D644A" w14:textId="77777777" w:rsidTr="00F10680">
        <w:tblPrEx>
          <w:shd w:val="clear" w:color="auto" w:fill="auto"/>
          <w:tblCellMar>
            <w:left w:w="57" w:type="dxa"/>
            <w:right w:w="57" w:type="dxa"/>
          </w:tblCellMar>
        </w:tblPrEx>
        <w:tc>
          <w:tcPr>
            <w:tcW w:w="10351" w:type="dxa"/>
            <w:shd w:val="clear" w:color="auto" w:fill="auto"/>
          </w:tcPr>
          <w:p w14:paraId="31579390" w14:textId="77777777" w:rsidR="00884D8F" w:rsidRDefault="00884D8F" w:rsidP="00884D8F">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7C4D12F" w14:textId="00D7FF5C" w:rsidR="00884D8F" w:rsidRDefault="00884D8F" w:rsidP="00884D8F">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 xml:space="preserve">projekte pred /predložením ŽoPr na MAS.- doba realizácie max. 9 mesiacov, ukončenie do </w:t>
            </w:r>
            <w:r w:rsidR="00642032">
              <w:rPr>
                <w:rFonts w:ascii="Arial" w:hAnsi="Arial" w:cs="Arial"/>
                <w:bCs/>
                <w:sz w:val="20"/>
                <w:szCs w:val="20"/>
              </w:rPr>
              <w:t>6.12.2023</w:t>
            </w:r>
            <w:r>
              <w:rPr>
                <w:rFonts w:ascii="Arial" w:hAnsi="Arial" w:cs="Arial"/>
                <w:bCs/>
                <w:sz w:val="20"/>
                <w:szCs w:val="20"/>
              </w:rPr>
              <w:t>.</w:t>
            </w:r>
          </w:p>
          <w:p w14:paraId="2499B1B2" w14:textId="77777777" w:rsidR="00884D8F" w:rsidRDefault="00884D8F" w:rsidP="00884D8F">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3742C74A" w14:textId="77777777" w:rsidR="00884D8F" w:rsidRPr="00440325" w:rsidRDefault="00884D8F" w:rsidP="00884D8F">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17E4429E" w14:textId="77777777" w:rsidR="00884D8F" w:rsidRPr="00440325" w:rsidRDefault="00884D8F" w:rsidP="00884D8F">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p>
          <w:p w14:paraId="2ADC6DFC" w14:textId="77777777" w:rsidR="00884D8F" w:rsidRDefault="00884D8F" w:rsidP="00884D8F">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65741411" w14:textId="77777777" w:rsidR="00884D8F" w:rsidRDefault="00884D8F" w:rsidP="00884D8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8"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132C0DF" w14:textId="77777777" w:rsidR="00884D8F" w:rsidRPr="002123FB" w:rsidRDefault="00884D8F" w:rsidP="00884D8F">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031DE5AF" w14:textId="77777777" w:rsidR="00884D8F" w:rsidRPr="002123FB" w:rsidRDefault="00884D8F" w:rsidP="00884D8F">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začali práce na projekte pred </w:t>
            </w:r>
            <w:r>
              <w:rPr>
                <w:rFonts w:ascii="Arial" w:hAnsi="Arial" w:cs="Arial"/>
                <w:bCs/>
                <w:sz w:val="20"/>
                <w:szCs w:val="20"/>
              </w:rPr>
              <w:t>predložením ŽoPr na MAS</w:t>
            </w:r>
            <w:r w:rsidRPr="002123FB">
              <w:rPr>
                <w:rFonts w:ascii="Arial" w:hAnsi="Arial" w:cs="Arial"/>
                <w:bCs/>
                <w:sz w:val="20"/>
                <w:szCs w:val="20"/>
              </w:rPr>
              <w:t xml:space="preserve"> napr.:</w:t>
            </w:r>
          </w:p>
          <w:p w14:paraId="2C371FD4" w14:textId="77777777" w:rsidR="00642032" w:rsidRPr="00974FED" w:rsidRDefault="00642032" w:rsidP="00642032">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Pr>
                <w:rFonts w:ascii="Arial" w:hAnsi="Arial" w:cs="Arial"/>
                <w:bCs/>
                <w:sz w:val="20"/>
                <w:szCs w:val="20"/>
              </w:rPr>
              <w:t>moment predloženia ŽoPr na MAS</w:t>
            </w:r>
            <w:r w:rsidRPr="002123FB">
              <w:rPr>
                <w:rFonts w:ascii="Arial" w:hAnsi="Arial" w:cs="Arial"/>
                <w:bCs/>
                <w:sz w:val="20"/>
                <w:szCs w:val="20"/>
              </w:rPr>
              <w:t>,</w:t>
            </w:r>
          </w:p>
          <w:p w14:paraId="59CCC9E0" w14:textId="77777777" w:rsidR="00642032" w:rsidRPr="00AD6A4C" w:rsidRDefault="00642032" w:rsidP="00642032">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2069899E" w14:textId="77777777" w:rsidR="00642032" w:rsidRPr="002123FB" w:rsidRDefault="00642032" w:rsidP="00642032">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0BD133D0" w14:textId="77777777" w:rsidR="00642032" w:rsidRPr="002123FB" w:rsidRDefault="00642032" w:rsidP="00642032">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Pr>
                <w:rFonts w:ascii="Arial" w:hAnsi="Arial" w:cs="Arial"/>
                <w:bCs/>
                <w:sz w:val="20"/>
                <w:szCs w:val="20"/>
              </w:rPr>
              <w:t>predložení ŽoPr na MAS.</w:t>
            </w:r>
          </w:p>
          <w:p w14:paraId="0A26CE2F" w14:textId="77777777" w:rsidR="00884D8F" w:rsidRDefault="00884D8F" w:rsidP="00884D8F">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DC08F9C" w14:textId="77777777" w:rsidR="00884D8F" w:rsidRDefault="00884D8F" w:rsidP="00884D8F">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w:t>
            </w:r>
            <w:r>
              <w:rPr>
                <w:rFonts w:ascii="Arial" w:hAnsi="Arial" w:cs="Arial"/>
                <w:bCs/>
                <w:sz w:val="20"/>
                <w:szCs w:val="20"/>
              </w:rPr>
              <w:t>predložením ŽoPr na MAS</w:t>
            </w:r>
            <w:r w:rsidRPr="001F15D0">
              <w:rPr>
                <w:rFonts w:ascii="Arial" w:hAnsi="Arial" w:cs="Arial"/>
                <w:bCs/>
                <w:sz w:val="20"/>
                <w:szCs w:val="20"/>
              </w:rPr>
              <w:t>.</w:t>
            </w:r>
          </w:p>
          <w:bookmarkEnd w:id="3"/>
          <w:p w14:paraId="2F51FF6E" w14:textId="77777777" w:rsidR="00884D8F" w:rsidRPr="00543D57" w:rsidRDefault="00884D8F" w:rsidP="00884D8F">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C0FBCB" w:rsidR="00997F82" w:rsidRPr="00D835D8" w:rsidRDefault="00884D8F" w:rsidP="00884D8F">
            <w:pPr>
              <w:pStyle w:val="Odsekzoznamu"/>
              <w:numPr>
                <w:ilvl w:val="0"/>
                <w:numId w:val="56"/>
              </w:numPr>
              <w:spacing w:before="120" w:after="120" w:line="240" w:lineRule="auto"/>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F10680">
        <w:tblPrEx>
          <w:shd w:val="clear" w:color="auto" w:fill="auto"/>
          <w:tblCellMar>
            <w:left w:w="57" w:type="dxa"/>
            <w:right w:w="57" w:type="dxa"/>
          </w:tblCellMar>
        </w:tblPrEx>
        <w:trPr>
          <w:trHeight w:val="287"/>
        </w:trPr>
        <w:tc>
          <w:tcPr>
            <w:tcW w:w="10351"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F10680">
        <w:tblPrEx>
          <w:shd w:val="clear" w:color="auto" w:fill="auto"/>
          <w:tblCellMar>
            <w:left w:w="57" w:type="dxa"/>
            <w:right w:w="57" w:type="dxa"/>
          </w:tblCellMar>
        </w:tblPrEx>
        <w:tc>
          <w:tcPr>
            <w:tcW w:w="10351"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325EE159" w14:textId="77777777" w:rsidR="00CF21D0" w:rsidRDefault="00997F82" w:rsidP="00CF21D0">
            <w:pPr>
              <w:widowControl w:val="0"/>
              <w:tabs>
                <w:tab w:val="left" w:pos="-1418"/>
              </w:tabs>
              <w:autoSpaceDE w:val="0"/>
              <w:autoSpaceDN w:val="0"/>
              <w:adjustRightInd w:val="0"/>
              <w:spacing w:after="0" w:line="240" w:lineRule="auto"/>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CF21D0">
              <w:rPr>
                <w:rFonts w:ascii="Arial" w:hAnsi="Arial" w:cs="Arial"/>
                <w:bCs/>
                <w:sz w:val="20"/>
                <w:szCs w:val="20"/>
              </w:rPr>
              <w:t xml:space="preserve"> </w:t>
            </w:r>
          </w:p>
          <w:p w14:paraId="49E315BD" w14:textId="77777777" w:rsidR="00CF21D0" w:rsidRDefault="00CF21D0" w:rsidP="00CF21D0">
            <w:pPr>
              <w:widowControl w:val="0"/>
              <w:tabs>
                <w:tab w:val="left" w:pos="-1418"/>
              </w:tabs>
              <w:autoSpaceDE w:val="0"/>
              <w:autoSpaceDN w:val="0"/>
              <w:adjustRightInd w:val="0"/>
              <w:spacing w:after="0" w:line="240" w:lineRule="auto"/>
              <w:jc w:val="both"/>
              <w:rPr>
                <w:rFonts w:ascii="Arial" w:hAnsi="Arial" w:cs="Arial"/>
                <w:bCs/>
                <w:sz w:val="20"/>
                <w:szCs w:val="20"/>
              </w:rPr>
            </w:pPr>
          </w:p>
          <w:p w14:paraId="6690299F" w14:textId="282CD08E" w:rsidR="00997F82" w:rsidRPr="00D835D8" w:rsidRDefault="00CF21D0" w:rsidP="00D835D8">
            <w:pPr>
              <w:widowControl w:val="0"/>
              <w:tabs>
                <w:tab w:val="left" w:pos="-1418"/>
              </w:tabs>
              <w:autoSpaceDE w:val="0"/>
              <w:autoSpaceDN w:val="0"/>
              <w:adjustRightInd w:val="0"/>
              <w:spacing w:after="0" w:line="240" w:lineRule="auto"/>
              <w:jc w:val="both"/>
              <w:rPr>
                <w:rFonts w:ascii="Calibri" w:hAnsi="Calibri" w:cs="Calibri"/>
                <w:sz w:val="22"/>
              </w:rPr>
            </w:pPr>
            <w:r>
              <w:rPr>
                <w:rFonts w:ascii="Arial" w:hAnsi="Arial" w:cs="Arial"/>
                <w:bCs/>
                <w:sz w:val="20"/>
                <w:szCs w:val="20"/>
              </w:rPr>
              <w:t>Územie MAS HNILEC je tvorené katastrálnymi územiami obcí:</w:t>
            </w:r>
            <w:r>
              <w:rPr>
                <w:rFonts w:ascii="Calibri" w:hAnsi="Calibri" w:cs="Arial"/>
                <w:sz w:val="22"/>
              </w:rPr>
              <w:t xml:space="preserve"> Gelnica, Helcmanovce, Henclová, Jaklovce, Kluknava, Kojšov, Margecany, Mníšek nad Hnilcom, Nálepkovo, Prakovce, Smolnícka Huta, Smolník, Stará Voda, Švedlár, Úhorná, Veľký Folkmar, Závadka, Žakarovce</w:t>
            </w:r>
          </w:p>
        </w:tc>
      </w:tr>
      <w:tr w:rsidR="00997F82" w:rsidRPr="00291D70" w14:paraId="4331C889" w14:textId="77777777" w:rsidTr="00F10680">
        <w:tblPrEx>
          <w:shd w:val="clear" w:color="auto" w:fill="auto"/>
          <w:tblCellMar>
            <w:left w:w="57" w:type="dxa"/>
            <w:right w:w="57" w:type="dxa"/>
          </w:tblCellMar>
        </w:tblPrEx>
        <w:trPr>
          <w:trHeight w:val="287"/>
        </w:trPr>
        <w:tc>
          <w:tcPr>
            <w:tcW w:w="10351"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F10680">
        <w:tblPrEx>
          <w:shd w:val="clear" w:color="auto" w:fill="auto"/>
          <w:tblCellMar>
            <w:left w:w="57" w:type="dxa"/>
            <w:right w:w="57" w:type="dxa"/>
          </w:tblCellMar>
        </w:tblPrEx>
        <w:tc>
          <w:tcPr>
            <w:tcW w:w="10351"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466F09CD" w:rsidR="00997F82" w:rsidRDefault="00997F82" w:rsidP="00CF21D0">
            <w:pPr>
              <w:pStyle w:val="Odsekzoznamu"/>
              <w:spacing w:before="120" w:after="120" w:line="240" w:lineRule="auto"/>
              <w:ind w:left="85" w:right="85"/>
              <w:contextualSpacing w:val="0"/>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6DF6F27E" w14:textId="77777777" w:rsidR="00642032" w:rsidRDefault="00000000" w:rsidP="00642032">
            <w:pPr>
              <w:pStyle w:val="Odsekzoznamu"/>
              <w:spacing w:before="120" w:after="120" w:line="240" w:lineRule="auto"/>
              <w:ind w:left="85" w:right="85"/>
              <w:contextualSpacing w:val="0"/>
              <w:jc w:val="both"/>
              <w:rPr>
                <w:rFonts w:ascii="Arial" w:hAnsi="Arial" w:cs="Arial"/>
                <w:bCs/>
                <w:sz w:val="20"/>
                <w:szCs w:val="20"/>
              </w:rPr>
            </w:pPr>
            <w:hyperlink r:id="rId9" w:history="1">
              <w:r w:rsidR="00642032" w:rsidRPr="00FD44C8">
                <w:rPr>
                  <w:rStyle w:val="Hypertextovprepojenie"/>
                  <w:rFonts w:cs="Arial"/>
                  <w:bCs/>
                  <w:sz w:val="20"/>
                  <w:szCs w:val="20"/>
                </w:rPr>
                <w:t>https://www.mirri.gov.sk/mpsr/irop-programove-obdobie-2014-2020/clld/programove-dokumenty/prirucka-k-procesu-verejneho-obstaravania/index.html</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E6D150B" w14:textId="5C12BACF" w:rsidR="00997F82" w:rsidRPr="00D835D8" w:rsidRDefault="00D835D8" w:rsidP="00D835D8">
            <w:pPr>
              <w:pStyle w:val="Odsekzoznamu"/>
              <w:spacing w:before="120" w:after="120" w:line="240" w:lineRule="auto"/>
              <w:ind w:left="85" w:right="85"/>
              <w:contextualSpacing w:val="0"/>
              <w:jc w:val="both"/>
              <w:rPr>
                <w:rFonts w:ascii="Arial" w:hAnsi="Arial" w:cs="Arial"/>
                <w:bCs/>
                <w:color w:val="FF0000"/>
                <w:sz w:val="20"/>
                <w:szCs w:val="20"/>
              </w:rPr>
            </w:pPr>
            <w:r w:rsidRPr="00493EDA">
              <w:rPr>
                <w:rFonts w:ascii="Arial" w:hAnsi="Arial" w:cs="Arial"/>
                <w:b/>
                <w:color w:val="FF0000"/>
                <w:sz w:val="20"/>
                <w:szCs w:val="20"/>
              </w:rPr>
              <w:lastRenderedPageBreak/>
              <w:t>6)</w:t>
            </w:r>
            <w:r w:rsidR="00997F82" w:rsidRPr="00493EDA">
              <w:rPr>
                <w:rFonts w:ascii="Arial" w:hAnsi="Arial" w:cs="Arial"/>
                <w:b/>
                <w:color w:val="FF0000"/>
                <w:sz w:val="20"/>
                <w:szCs w:val="20"/>
              </w:rPr>
              <w:t xml:space="preserve"> príloh</w:t>
            </w:r>
            <w:r w:rsidRPr="00493EDA">
              <w:rPr>
                <w:rFonts w:ascii="Arial" w:hAnsi="Arial" w:cs="Arial"/>
                <w:b/>
                <w:color w:val="FF0000"/>
                <w:sz w:val="20"/>
                <w:szCs w:val="20"/>
              </w:rPr>
              <w:t>a</w:t>
            </w:r>
            <w:r w:rsidR="00997F82" w:rsidRPr="00493EDA">
              <w:rPr>
                <w:rFonts w:ascii="Arial" w:hAnsi="Arial" w:cs="Arial"/>
                <w:b/>
                <w:color w:val="FF0000"/>
                <w:sz w:val="20"/>
                <w:szCs w:val="20"/>
              </w:rPr>
              <w:t xml:space="preserve"> ŽoPr – Rozpočet projektu</w:t>
            </w:r>
          </w:p>
        </w:tc>
      </w:tr>
      <w:tr w:rsidR="00997F82" w:rsidRPr="00291D70" w14:paraId="322AA00A" w14:textId="77777777" w:rsidTr="00F10680">
        <w:tblPrEx>
          <w:shd w:val="clear" w:color="auto" w:fill="auto"/>
          <w:tblCellMar>
            <w:left w:w="57" w:type="dxa"/>
            <w:right w:w="57" w:type="dxa"/>
          </w:tblCellMar>
        </w:tblPrEx>
        <w:trPr>
          <w:trHeight w:val="287"/>
        </w:trPr>
        <w:tc>
          <w:tcPr>
            <w:tcW w:w="10351"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Kritériá pre výber projektov</w:t>
            </w:r>
          </w:p>
        </w:tc>
      </w:tr>
      <w:tr w:rsidR="00997F82" w:rsidRPr="006A79F0" w14:paraId="517F252E" w14:textId="77777777" w:rsidTr="00F10680">
        <w:tblPrEx>
          <w:shd w:val="clear" w:color="auto" w:fill="auto"/>
          <w:tblCellMar>
            <w:left w:w="57" w:type="dxa"/>
            <w:right w:w="57" w:type="dxa"/>
          </w:tblCellMar>
        </w:tblPrEx>
        <w:tc>
          <w:tcPr>
            <w:tcW w:w="10351" w:type="dxa"/>
            <w:shd w:val="clear" w:color="auto" w:fill="auto"/>
          </w:tcPr>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20B0E766" w:rsidR="00997F82" w:rsidRPr="00493EDA" w:rsidRDefault="00D835D8" w:rsidP="00997F82">
            <w:pPr>
              <w:pStyle w:val="Odsekzoznamu"/>
              <w:widowControl w:val="0"/>
              <w:numPr>
                <w:ilvl w:val="0"/>
                <w:numId w:val="16"/>
              </w:numPr>
              <w:spacing w:after="0" w:line="240" w:lineRule="auto"/>
              <w:ind w:hanging="357"/>
              <w:contextualSpacing w:val="0"/>
              <w:jc w:val="both"/>
              <w:rPr>
                <w:rFonts w:ascii="Arial" w:hAnsi="Arial" w:cs="Arial"/>
                <w:b/>
                <w:color w:val="FF0000"/>
                <w:sz w:val="20"/>
                <w:szCs w:val="20"/>
              </w:rPr>
            </w:pPr>
            <w:r w:rsidRPr="00493EDA">
              <w:rPr>
                <w:rFonts w:ascii="Arial" w:hAnsi="Arial" w:cs="Arial"/>
                <w:b/>
                <w:color w:val="FF0000"/>
                <w:sz w:val="20"/>
                <w:szCs w:val="20"/>
              </w:rPr>
              <w:t xml:space="preserve">6) </w:t>
            </w:r>
            <w:r w:rsidR="00997F82" w:rsidRPr="00493EDA">
              <w:rPr>
                <w:rFonts w:ascii="Arial" w:hAnsi="Arial" w:cs="Arial"/>
                <w:b/>
                <w:color w:val="FF0000"/>
                <w:sz w:val="20"/>
                <w:szCs w:val="20"/>
              </w:rPr>
              <w:t>Rozpočet projektu,</w:t>
            </w:r>
          </w:p>
          <w:p w14:paraId="2EBF7B47" w14:textId="652060A1" w:rsidR="00A93302" w:rsidRDefault="00A93302" w:rsidP="00A93302">
            <w:pPr>
              <w:widowControl w:val="0"/>
              <w:spacing w:after="0" w:line="240" w:lineRule="auto"/>
              <w:jc w:val="both"/>
              <w:rPr>
                <w:rFonts w:ascii="Arial" w:hAnsi="Arial" w:cs="Arial"/>
                <w:bCs/>
                <w:sz w:val="20"/>
                <w:szCs w:val="20"/>
              </w:rPr>
            </w:pPr>
            <w:r w:rsidRPr="00A93302">
              <w:rPr>
                <w:rFonts w:ascii="Arial" w:hAnsi="Arial" w:cs="Arial"/>
                <w:bCs/>
                <w:sz w:val="20"/>
                <w:szCs w:val="20"/>
              </w:rPr>
              <w:t>V rámci tejto prílohy ŽoPr žiadateľ predkladá rozpočet projektu spolu s ďalšou dokumentáciou, na základe ktorej preukazuje oprávnenosť a výšku výdavkov nárokovaných v rozpočte projektu.</w:t>
            </w:r>
          </w:p>
          <w:p w14:paraId="2627EEB6" w14:textId="77777777" w:rsidR="00A93302" w:rsidRPr="00A93302" w:rsidRDefault="00A93302" w:rsidP="00A93302">
            <w:pPr>
              <w:widowControl w:val="0"/>
              <w:spacing w:after="0" w:line="240" w:lineRule="auto"/>
              <w:jc w:val="both"/>
              <w:rPr>
                <w:rFonts w:ascii="Arial" w:hAnsi="Arial" w:cs="Arial"/>
                <w:bCs/>
                <w:sz w:val="20"/>
                <w:szCs w:val="20"/>
              </w:rPr>
            </w:pPr>
          </w:p>
          <w:p w14:paraId="445F8BAC" w14:textId="64FD7702" w:rsidR="00A93302" w:rsidRDefault="00A93302" w:rsidP="00A93302">
            <w:pPr>
              <w:widowControl w:val="0"/>
              <w:spacing w:after="0" w:line="240" w:lineRule="auto"/>
              <w:jc w:val="both"/>
              <w:rPr>
                <w:rFonts w:ascii="Arial" w:hAnsi="Arial" w:cs="Arial"/>
                <w:bCs/>
                <w:sz w:val="20"/>
                <w:szCs w:val="20"/>
              </w:rPr>
            </w:pPr>
            <w:r w:rsidRPr="00A93302">
              <w:rPr>
                <w:rFonts w:ascii="Arial" w:hAnsi="Arial" w:cs="Arial"/>
                <w:bCs/>
                <w:sz w:val="20"/>
                <w:szCs w:val="20"/>
              </w:rPr>
              <w:t xml:space="preserve">Stanovenie výšky výdavkov žiadateľ vykoná niektorým z nasledujúcich spôsobov, alebo ich kombináciou. </w:t>
            </w:r>
          </w:p>
          <w:p w14:paraId="6ACB7F16" w14:textId="77777777" w:rsidR="00A93302" w:rsidRPr="00A93302" w:rsidRDefault="00A93302" w:rsidP="00A93302">
            <w:pPr>
              <w:widowControl w:val="0"/>
              <w:spacing w:after="0" w:line="240" w:lineRule="auto"/>
              <w:jc w:val="both"/>
              <w:rPr>
                <w:rFonts w:ascii="Arial" w:hAnsi="Arial" w:cs="Arial"/>
                <w:bCs/>
                <w:sz w:val="20"/>
                <w:szCs w:val="20"/>
              </w:rPr>
            </w:pPr>
          </w:p>
          <w:p w14:paraId="207E27A5" w14:textId="1A55DB53" w:rsidR="00A93302" w:rsidRPr="00A93302" w:rsidRDefault="00A93302" w:rsidP="00A93302">
            <w:pPr>
              <w:pStyle w:val="Odsekzoznamu"/>
              <w:widowControl w:val="0"/>
              <w:numPr>
                <w:ilvl w:val="0"/>
                <w:numId w:val="63"/>
              </w:numPr>
              <w:spacing w:after="0" w:line="240" w:lineRule="auto"/>
              <w:jc w:val="both"/>
              <w:rPr>
                <w:rFonts w:ascii="Arial" w:hAnsi="Arial" w:cs="Arial"/>
                <w:bCs/>
                <w:sz w:val="20"/>
                <w:szCs w:val="20"/>
              </w:rPr>
            </w:pPr>
            <w:r w:rsidRPr="00A93302">
              <w:rPr>
                <w:rFonts w:ascii="Arial" w:hAnsi="Arial" w:cs="Arial"/>
                <w:bCs/>
                <w:sz w:val="20"/>
                <w:szCs w:val="20"/>
              </w:rPr>
              <w:t>Rozpočet stavby ocenený stavebným rozpočtárom</w:t>
            </w:r>
          </w:p>
          <w:p w14:paraId="2F1A2DA5" w14:textId="77777777" w:rsidR="00A93302" w:rsidRPr="00A93302" w:rsidRDefault="00A93302" w:rsidP="00A93302">
            <w:pPr>
              <w:pStyle w:val="Odsekzoznamu"/>
              <w:widowControl w:val="0"/>
              <w:spacing w:after="0" w:line="240" w:lineRule="auto"/>
              <w:ind w:left="1065"/>
              <w:jc w:val="both"/>
              <w:rPr>
                <w:rFonts w:ascii="Arial" w:hAnsi="Arial" w:cs="Arial"/>
                <w:bCs/>
                <w:sz w:val="20"/>
                <w:szCs w:val="20"/>
              </w:rPr>
            </w:pPr>
          </w:p>
          <w:p w14:paraId="22C3AD79" w14:textId="77777777" w:rsidR="00A93302" w:rsidRPr="00A93302" w:rsidRDefault="00A93302" w:rsidP="00A93302">
            <w:pPr>
              <w:widowControl w:val="0"/>
              <w:spacing w:after="0" w:line="240" w:lineRule="auto"/>
              <w:jc w:val="both"/>
              <w:rPr>
                <w:rFonts w:ascii="Arial" w:hAnsi="Arial" w:cs="Arial"/>
                <w:bCs/>
                <w:sz w:val="20"/>
                <w:szCs w:val="20"/>
              </w:rPr>
            </w:pPr>
            <w:r w:rsidRPr="00A93302">
              <w:rPr>
                <w:rFonts w:ascii="Arial" w:hAnsi="Arial" w:cs="Arial"/>
                <w:bCs/>
                <w:sz w:val="20"/>
                <w:szCs w:val="20"/>
              </w:rPr>
              <w:t>V prípade, ak bola výška výdavku stanovená podľa stavebného rozpočtu oceneného autorizovanou osobou, predkladá žiadateľ ako prílohu rozpočtu projektu kópiu oceneného rozpočtu stavby.</w:t>
            </w:r>
          </w:p>
          <w:p w14:paraId="47E2CE34" w14:textId="702B5F0B" w:rsidR="00A93302" w:rsidRDefault="00A93302" w:rsidP="00A93302">
            <w:pPr>
              <w:widowControl w:val="0"/>
              <w:spacing w:after="0" w:line="240" w:lineRule="auto"/>
              <w:jc w:val="both"/>
              <w:rPr>
                <w:rFonts w:ascii="Arial" w:hAnsi="Arial" w:cs="Arial"/>
                <w:bCs/>
                <w:sz w:val="20"/>
                <w:szCs w:val="20"/>
              </w:rPr>
            </w:pPr>
            <w:r w:rsidRPr="00A93302">
              <w:rPr>
                <w:rFonts w:ascii="Arial" w:hAnsi="Arial" w:cs="Arial"/>
                <w:bCs/>
                <w:sz w:val="20"/>
                <w:szCs w:val="20"/>
              </w:rPr>
              <w:t>Autorizovanou osobou sa myslí osoba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 víťazným uchádzačom, alebo prieskum trhu).</w:t>
            </w:r>
          </w:p>
          <w:p w14:paraId="4AEA21EE" w14:textId="77777777" w:rsidR="00A93302" w:rsidRPr="00A93302" w:rsidRDefault="00A93302" w:rsidP="00A93302">
            <w:pPr>
              <w:widowControl w:val="0"/>
              <w:spacing w:after="0" w:line="240" w:lineRule="auto"/>
              <w:jc w:val="both"/>
              <w:rPr>
                <w:rFonts w:ascii="Arial" w:hAnsi="Arial" w:cs="Arial"/>
                <w:bCs/>
                <w:sz w:val="20"/>
                <w:szCs w:val="20"/>
              </w:rPr>
            </w:pPr>
          </w:p>
          <w:p w14:paraId="630D7329" w14:textId="6CA602A6" w:rsidR="00A93302" w:rsidRDefault="00A93302" w:rsidP="00A93302">
            <w:pPr>
              <w:pStyle w:val="Odsekzoznamu"/>
              <w:widowControl w:val="0"/>
              <w:numPr>
                <w:ilvl w:val="0"/>
                <w:numId w:val="63"/>
              </w:numPr>
              <w:spacing w:after="0" w:line="240" w:lineRule="auto"/>
              <w:jc w:val="both"/>
              <w:rPr>
                <w:rFonts w:ascii="Arial" w:hAnsi="Arial" w:cs="Arial"/>
                <w:bCs/>
                <w:sz w:val="20"/>
                <w:szCs w:val="20"/>
              </w:rPr>
            </w:pPr>
            <w:r>
              <w:rPr>
                <w:rFonts w:ascii="Arial" w:hAnsi="Arial" w:cs="Arial"/>
                <w:bCs/>
                <w:sz w:val="20"/>
                <w:szCs w:val="20"/>
              </w:rPr>
              <w:t xml:space="preserve">  </w:t>
            </w:r>
            <w:r w:rsidRPr="00A93302">
              <w:rPr>
                <w:rFonts w:ascii="Arial" w:hAnsi="Arial" w:cs="Arial"/>
                <w:bCs/>
                <w:sz w:val="20"/>
                <w:szCs w:val="20"/>
              </w:rPr>
              <w:t>Zmluva s dodávateľom/zhotoviteľom</w:t>
            </w:r>
          </w:p>
          <w:p w14:paraId="37C087ED" w14:textId="77777777" w:rsidR="00A93302" w:rsidRPr="00A93302" w:rsidRDefault="00A93302" w:rsidP="00A93302">
            <w:pPr>
              <w:pStyle w:val="Odsekzoznamu"/>
              <w:widowControl w:val="0"/>
              <w:spacing w:after="0" w:line="240" w:lineRule="auto"/>
              <w:ind w:left="1065"/>
              <w:jc w:val="both"/>
              <w:rPr>
                <w:rFonts w:ascii="Arial" w:hAnsi="Arial" w:cs="Arial"/>
                <w:bCs/>
                <w:sz w:val="20"/>
                <w:szCs w:val="20"/>
              </w:rPr>
            </w:pPr>
          </w:p>
          <w:p w14:paraId="1607D6AC" w14:textId="77777777" w:rsidR="00A93302" w:rsidRPr="00A93302" w:rsidRDefault="00A93302" w:rsidP="00A93302">
            <w:pPr>
              <w:widowControl w:val="0"/>
              <w:spacing w:after="0" w:line="240" w:lineRule="auto"/>
              <w:jc w:val="both"/>
              <w:rPr>
                <w:rFonts w:ascii="Arial" w:hAnsi="Arial" w:cs="Arial"/>
                <w:bCs/>
                <w:sz w:val="20"/>
                <w:szCs w:val="20"/>
              </w:rPr>
            </w:pPr>
            <w:r w:rsidRPr="00A93302">
              <w:rPr>
                <w:rFonts w:ascii="Arial" w:hAnsi="Arial" w:cs="Arial"/>
                <w:bCs/>
                <w:sz w:val="20"/>
                <w:szCs w:val="20"/>
              </w:rPr>
              <w:t>V prípade, ak bola výška výdavku stanovená podľa uzatvorenej zmluvy s úspešným uchádzačom ako výsledkom vykonaného verejného obstarávania/obstarávania, žiadateľ predkladá ako prílohu rozpočtu kópiu tejto zmluvu a to vrátane dodatkov k zmluve, ak existujú (žiadateľ nepredkladá komplet dokumentáciu k VO/obstarávaniu, túto predloží až po nadobudnutí účinnosti zmluvy o príspevku).</w:t>
            </w:r>
          </w:p>
          <w:p w14:paraId="45C331BE" w14:textId="132487E6" w:rsidR="00A93302" w:rsidRDefault="00A93302" w:rsidP="00A93302">
            <w:pPr>
              <w:widowControl w:val="0"/>
              <w:spacing w:after="0" w:line="240" w:lineRule="auto"/>
              <w:jc w:val="both"/>
              <w:rPr>
                <w:rFonts w:ascii="Arial" w:hAnsi="Arial" w:cs="Arial"/>
                <w:bCs/>
                <w:sz w:val="20"/>
                <w:szCs w:val="20"/>
              </w:rPr>
            </w:pPr>
            <w:r w:rsidRPr="00A93302">
              <w:rPr>
                <w:rFonts w:ascii="Arial" w:hAnsi="Arial" w:cs="Arial"/>
                <w:bCs/>
                <w:sz w:val="20"/>
                <w:szCs w:val="20"/>
              </w:rPr>
              <w:t>Vzhľadom na podmienku poskytnutia príspevku č. 7 (Podmienka, že žiadateľ nezačal 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7B7E2D43" w14:textId="77777777" w:rsidR="00A93302" w:rsidRPr="00A93302" w:rsidRDefault="00A93302" w:rsidP="00A93302">
            <w:pPr>
              <w:widowControl w:val="0"/>
              <w:spacing w:after="0" w:line="240" w:lineRule="auto"/>
              <w:jc w:val="both"/>
              <w:rPr>
                <w:rFonts w:ascii="Arial" w:hAnsi="Arial" w:cs="Arial"/>
                <w:bCs/>
                <w:sz w:val="20"/>
                <w:szCs w:val="20"/>
              </w:rPr>
            </w:pPr>
          </w:p>
          <w:p w14:paraId="6C5814C5" w14:textId="54B223FA" w:rsidR="00A93302" w:rsidRPr="00A93302" w:rsidRDefault="00A93302" w:rsidP="00A93302">
            <w:pPr>
              <w:pStyle w:val="Odsekzoznamu"/>
              <w:widowControl w:val="0"/>
              <w:numPr>
                <w:ilvl w:val="0"/>
                <w:numId w:val="63"/>
              </w:numPr>
              <w:spacing w:after="0" w:line="240" w:lineRule="auto"/>
              <w:jc w:val="both"/>
              <w:rPr>
                <w:rFonts w:ascii="Arial" w:hAnsi="Arial" w:cs="Arial"/>
                <w:bCs/>
                <w:sz w:val="20"/>
                <w:szCs w:val="20"/>
              </w:rPr>
            </w:pPr>
            <w:r>
              <w:rPr>
                <w:rFonts w:ascii="Arial" w:hAnsi="Arial" w:cs="Arial"/>
                <w:bCs/>
                <w:sz w:val="20"/>
                <w:szCs w:val="20"/>
              </w:rPr>
              <w:t xml:space="preserve">   </w:t>
            </w:r>
            <w:r w:rsidRPr="00A93302">
              <w:rPr>
                <w:rFonts w:ascii="Arial" w:hAnsi="Arial" w:cs="Arial"/>
                <w:bCs/>
                <w:sz w:val="20"/>
                <w:szCs w:val="20"/>
              </w:rPr>
              <w:t>Záznam z prieskumu trhu</w:t>
            </w:r>
          </w:p>
          <w:p w14:paraId="0B9A7C07" w14:textId="77777777" w:rsidR="00A93302" w:rsidRDefault="00A93302" w:rsidP="00A93302">
            <w:pPr>
              <w:widowControl w:val="0"/>
              <w:spacing w:after="0" w:line="240" w:lineRule="auto"/>
              <w:jc w:val="both"/>
              <w:rPr>
                <w:rFonts w:ascii="Arial" w:hAnsi="Arial" w:cs="Arial"/>
                <w:bCs/>
                <w:sz w:val="20"/>
                <w:szCs w:val="20"/>
              </w:rPr>
            </w:pPr>
          </w:p>
          <w:p w14:paraId="0A21C61A" w14:textId="329B51B6" w:rsidR="00A93302" w:rsidRPr="00A93302" w:rsidRDefault="00A93302" w:rsidP="00A93302">
            <w:pPr>
              <w:widowControl w:val="0"/>
              <w:spacing w:after="0" w:line="240" w:lineRule="auto"/>
              <w:jc w:val="both"/>
              <w:rPr>
                <w:rFonts w:ascii="Arial" w:hAnsi="Arial" w:cs="Arial"/>
                <w:bCs/>
                <w:sz w:val="20"/>
                <w:szCs w:val="20"/>
              </w:rPr>
            </w:pPr>
            <w:r w:rsidRPr="00A93302">
              <w:rPr>
                <w:rFonts w:ascii="Arial" w:hAnsi="Arial" w:cs="Arial"/>
                <w:bCs/>
                <w:sz w:val="20"/>
                <w:szCs w:val="20"/>
              </w:rPr>
              <w:t>V prípade, ak bola výška výdavku stanovená prieskumom trhu, predkladá žiadateľ ako prílohu rozpočtu projektu kópiu záznamu z prieskumu trhu, ktorým žiadateľ stanovuje predpokladanú hodnotu zákazky, ktorú použije v procese verejného obstarávania.</w:t>
            </w:r>
          </w:p>
          <w:p w14:paraId="4CB982BA" w14:textId="77777777" w:rsidR="00A93302" w:rsidRPr="00A93302" w:rsidRDefault="00A93302" w:rsidP="00A93302">
            <w:pPr>
              <w:widowControl w:val="0"/>
              <w:spacing w:after="0" w:line="240" w:lineRule="auto"/>
              <w:jc w:val="both"/>
              <w:rPr>
                <w:rFonts w:ascii="Arial" w:hAnsi="Arial" w:cs="Arial"/>
                <w:bCs/>
                <w:sz w:val="20"/>
                <w:szCs w:val="20"/>
              </w:rPr>
            </w:pPr>
            <w:r w:rsidRPr="00A93302">
              <w:rPr>
                <w:rFonts w:ascii="Arial" w:hAnsi="Arial" w:cs="Arial"/>
                <w:bCs/>
                <w:sz w:val="20"/>
                <w:szCs w:val="20"/>
              </w:rPr>
              <w:t>Prieskum trhu vykoná žiadateľ v súlade s inštrukciami uvedenými v kapitole 2.2.2 Príručky RO pre IROP k procesu verejného obstarávania, ktorá je dostupná na</w:t>
            </w:r>
          </w:p>
          <w:p w14:paraId="03D8E4A7" w14:textId="77777777" w:rsidR="00A93302" w:rsidRPr="00A93302" w:rsidRDefault="00A93302" w:rsidP="00A93302">
            <w:pPr>
              <w:widowControl w:val="0"/>
              <w:spacing w:after="0" w:line="240" w:lineRule="auto"/>
              <w:jc w:val="both"/>
              <w:rPr>
                <w:rFonts w:ascii="Arial" w:hAnsi="Arial" w:cs="Arial"/>
                <w:bCs/>
                <w:sz w:val="20"/>
                <w:szCs w:val="20"/>
              </w:rPr>
            </w:pPr>
            <w:r w:rsidRPr="00A93302">
              <w:rPr>
                <w:rFonts w:ascii="Arial" w:hAnsi="Arial" w:cs="Arial"/>
                <w:bCs/>
                <w:sz w:val="20"/>
                <w:szCs w:val="20"/>
              </w:rPr>
              <w:t>http://www.mpsr.sk/index.php?navID=1121&amp;navID2=1121&amp;sID=67&amp;id=10956.</w:t>
            </w:r>
          </w:p>
          <w:p w14:paraId="32C88E4B" w14:textId="77777777" w:rsidR="00A93302" w:rsidRPr="00A93302" w:rsidRDefault="00A93302" w:rsidP="00A93302">
            <w:pPr>
              <w:widowControl w:val="0"/>
              <w:spacing w:after="0" w:line="240" w:lineRule="auto"/>
              <w:jc w:val="both"/>
              <w:rPr>
                <w:rFonts w:ascii="Arial" w:hAnsi="Arial" w:cs="Arial"/>
                <w:bCs/>
                <w:sz w:val="20"/>
                <w:szCs w:val="20"/>
              </w:rPr>
            </w:pPr>
            <w:r w:rsidRPr="00A93302">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p>
          <w:p w14:paraId="5307B2DB" w14:textId="77777777" w:rsidR="00A93302" w:rsidRPr="00A93302" w:rsidRDefault="00A93302" w:rsidP="00A93302">
            <w:pPr>
              <w:widowControl w:val="0"/>
              <w:spacing w:after="0" w:line="240" w:lineRule="auto"/>
              <w:jc w:val="both"/>
              <w:rPr>
                <w:rFonts w:ascii="Arial" w:hAnsi="Arial" w:cs="Arial"/>
                <w:bCs/>
                <w:sz w:val="20"/>
                <w:szCs w:val="20"/>
              </w:rPr>
            </w:pPr>
            <w:r w:rsidRPr="00A93302">
              <w:rPr>
                <w:rFonts w:ascii="Arial" w:hAnsi="Arial" w:cs="Arial"/>
                <w:bCs/>
                <w:sz w:val="20"/>
                <w:szCs w:val="20"/>
              </w:rPr>
              <w:t>Žiadateľ stanoví výdavok podľa najaktuálnejšej dokumentácie, t.j. ak disponuje uzatvorenou zmluvou s úspešným uchádzačom použije hodnoty zo zmluvy, ak disponuje oceneným rozpočtom stavby, ale neexistuje zmluva s úspešným uchádzačom použije hodnoty z rozpočtu stavby, vo všetkých ostatných prípadoch, ak neexistuje zmluva ani rozpočet stavby použije prieskum trhu.</w:t>
            </w:r>
          </w:p>
          <w:p w14:paraId="7891F191" w14:textId="77777777" w:rsidR="00A93302" w:rsidRPr="00A93302" w:rsidRDefault="00A93302" w:rsidP="00A93302">
            <w:pPr>
              <w:widowControl w:val="0"/>
              <w:spacing w:after="0" w:line="240" w:lineRule="auto"/>
              <w:jc w:val="both"/>
              <w:rPr>
                <w:rFonts w:ascii="Arial" w:hAnsi="Arial" w:cs="Arial"/>
                <w:bCs/>
                <w:sz w:val="20"/>
                <w:szCs w:val="20"/>
              </w:rPr>
            </w:pPr>
          </w:p>
          <w:p w14:paraId="7107F889" w14:textId="25CE8A01" w:rsidR="00A93302" w:rsidRPr="00A93302" w:rsidRDefault="00A93302" w:rsidP="00A93302">
            <w:pPr>
              <w:widowControl w:val="0"/>
              <w:spacing w:after="0" w:line="240" w:lineRule="auto"/>
              <w:jc w:val="both"/>
              <w:rPr>
                <w:rFonts w:ascii="Arial" w:hAnsi="Arial" w:cs="Arial"/>
                <w:bCs/>
                <w:color w:val="FF0000"/>
                <w:sz w:val="20"/>
                <w:szCs w:val="20"/>
              </w:rPr>
            </w:pPr>
          </w:p>
          <w:p w14:paraId="12CC2324" w14:textId="2ED5C66E" w:rsidR="00997F82" w:rsidRPr="00493EDA" w:rsidRDefault="00D835D8" w:rsidP="00997F82">
            <w:pPr>
              <w:pStyle w:val="Odsekzoznamu"/>
              <w:widowControl w:val="0"/>
              <w:numPr>
                <w:ilvl w:val="0"/>
                <w:numId w:val="16"/>
              </w:numPr>
              <w:spacing w:after="0" w:line="240" w:lineRule="auto"/>
              <w:ind w:hanging="357"/>
              <w:contextualSpacing w:val="0"/>
              <w:jc w:val="both"/>
              <w:rPr>
                <w:rFonts w:ascii="Arial" w:hAnsi="Arial" w:cs="Arial"/>
                <w:b/>
                <w:color w:val="FF0000"/>
                <w:sz w:val="20"/>
                <w:szCs w:val="20"/>
              </w:rPr>
            </w:pPr>
            <w:r w:rsidRPr="00493EDA">
              <w:rPr>
                <w:rFonts w:ascii="Arial" w:hAnsi="Arial" w:cs="Arial"/>
                <w:b/>
                <w:color w:val="FF0000"/>
                <w:sz w:val="20"/>
                <w:szCs w:val="20"/>
              </w:rPr>
              <w:t xml:space="preserve">7) </w:t>
            </w:r>
            <w:r w:rsidR="00997F82" w:rsidRPr="00493EDA">
              <w:rPr>
                <w:rFonts w:ascii="Arial" w:hAnsi="Arial" w:cs="Arial"/>
                <w:b/>
                <w:color w:val="FF0000"/>
                <w:sz w:val="20"/>
                <w:szCs w:val="20"/>
              </w:rPr>
              <w:t xml:space="preserve">Ukazovatele </w:t>
            </w:r>
            <w:r w:rsidR="00B673F2" w:rsidRPr="00493EDA">
              <w:rPr>
                <w:rFonts w:ascii="Arial" w:hAnsi="Arial" w:cs="Arial"/>
                <w:b/>
                <w:color w:val="FF0000"/>
                <w:sz w:val="20"/>
                <w:szCs w:val="20"/>
              </w:rPr>
              <w:t>hodnotenia finančnej situácie</w:t>
            </w:r>
            <w:r w:rsidR="00997F82" w:rsidRPr="00493EDA">
              <w:rPr>
                <w:rFonts w:ascii="Arial" w:hAnsi="Arial" w:cs="Arial"/>
                <w:b/>
                <w:color w:val="FF0000"/>
                <w:sz w:val="20"/>
                <w:szCs w:val="20"/>
              </w:rPr>
              <w:t>,</w:t>
            </w:r>
          </w:p>
          <w:p w14:paraId="4E46C634" w14:textId="77777777" w:rsidR="00A93302" w:rsidRPr="00A93302" w:rsidRDefault="00A93302" w:rsidP="00A93302">
            <w:pPr>
              <w:widowControl w:val="0"/>
              <w:spacing w:after="0" w:line="240" w:lineRule="auto"/>
              <w:jc w:val="both"/>
              <w:rPr>
                <w:rFonts w:ascii="Arial" w:hAnsi="Arial" w:cs="Arial"/>
                <w:bCs/>
                <w:color w:val="FF0000"/>
                <w:sz w:val="20"/>
                <w:szCs w:val="20"/>
              </w:rPr>
            </w:pPr>
          </w:p>
          <w:p w14:paraId="58EF7C03" w14:textId="77777777" w:rsidR="00997F82" w:rsidRPr="00493EDA" w:rsidRDefault="00D835D8" w:rsidP="00D835D8">
            <w:pPr>
              <w:pStyle w:val="Odsekzoznamu"/>
              <w:widowControl w:val="0"/>
              <w:numPr>
                <w:ilvl w:val="0"/>
                <w:numId w:val="16"/>
              </w:numPr>
              <w:spacing w:after="0" w:line="240" w:lineRule="auto"/>
              <w:ind w:hanging="357"/>
              <w:contextualSpacing w:val="0"/>
              <w:jc w:val="both"/>
              <w:rPr>
                <w:rFonts w:ascii="Arial" w:hAnsi="Arial" w:cs="Arial"/>
                <w:b/>
                <w:color w:val="FF0000"/>
                <w:sz w:val="20"/>
                <w:szCs w:val="20"/>
              </w:rPr>
            </w:pPr>
            <w:r w:rsidRPr="00493EDA">
              <w:rPr>
                <w:rFonts w:ascii="Arial" w:hAnsi="Arial" w:cs="Arial"/>
                <w:b/>
                <w:color w:val="FF0000"/>
                <w:sz w:val="20"/>
                <w:szCs w:val="20"/>
              </w:rPr>
              <w:t xml:space="preserve">8) </w:t>
            </w:r>
            <w:r w:rsidR="00997F82" w:rsidRPr="00493EDA">
              <w:rPr>
                <w:rFonts w:ascii="Arial" w:hAnsi="Arial" w:cs="Arial"/>
                <w:b/>
                <w:color w:val="FF0000"/>
                <w:sz w:val="20"/>
                <w:szCs w:val="20"/>
              </w:rPr>
              <w:t>Finančná analýza projektu.</w:t>
            </w:r>
          </w:p>
          <w:p w14:paraId="04552528" w14:textId="1D64C346" w:rsidR="00A93302" w:rsidRPr="00A93302" w:rsidRDefault="00A93302" w:rsidP="00A93302">
            <w:pPr>
              <w:widowControl w:val="0"/>
              <w:spacing w:after="0" w:line="240" w:lineRule="auto"/>
              <w:jc w:val="both"/>
              <w:rPr>
                <w:rFonts w:ascii="Arial" w:hAnsi="Arial" w:cs="Arial"/>
                <w:bCs/>
                <w:color w:val="FF0000"/>
                <w:sz w:val="20"/>
                <w:szCs w:val="20"/>
              </w:rPr>
            </w:pPr>
          </w:p>
        </w:tc>
      </w:tr>
      <w:tr w:rsidR="00997F82" w:rsidRPr="00291D70" w14:paraId="134D9086" w14:textId="77777777" w:rsidTr="00F10680">
        <w:tblPrEx>
          <w:shd w:val="clear" w:color="auto" w:fill="auto"/>
          <w:tblCellMar>
            <w:left w:w="57" w:type="dxa"/>
            <w:right w:w="57" w:type="dxa"/>
          </w:tblCellMar>
        </w:tblPrEx>
        <w:trPr>
          <w:trHeight w:val="287"/>
        </w:trPr>
        <w:tc>
          <w:tcPr>
            <w:tcW w:w="10351"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Podmienky vyplývajúce zo schémy pomoci</w:t>
            </w:r>
          </w:p>
        </w:tc>
      </w:tr>
      <w:tr w:rsidR="00997F82" w:rsidRPr="006A79F0" w14:paraId="7EDE3E7C" w14:textId="77777777" w:rsidTr="00F10680">
        <w:tblPrEx>
          <w:shd w:val="clear" w:color="auto" w:fill="auto"/>
          <w:tblCellMar>
            <w:left w:w="57" w:type="dxa"/>
            <w:right w:w="57" w:type="dxa"/>
          </w:tblCellMar>
        </w:tblPrEx>
        <w:tc>
          <w:tcPr>
            <w:tcW w:w="10351"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733A8E2A"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Poskytnutie pomoci v rámci tejto výzvy je poskytnutím pomoci de minimis z</w:t>
            </w:r>
            <w:r>
              <w:rPr>
                <w:rFonts w:ascii="Arial" w:hAnsi="Arial" w:cs="Arial"/>
                <w:bCs/>
                <w:sz w:val="20"/>
                <w:szCs w:val="20"/>
              </w:rPr>
              <w:t> </w:t>
            </w:r>
            <w:r w:rsidRPr="00A5524B">
              <w:rPr>
                <w:rFonts w:ascii="Arial" w:hAnsi="Arial" w:cs="Arial"/>
                <w:bCs/>
                <w:sz w:val="20"/>
                <w:szCs w:val="20"/>
              </w:rPr>
              <w:t>I</w:t>
            </w:r>
            <w:r>
              <w:rPr>
                <w:rFonts w:ascii="Arial" w:hAnsi="Arial" w:cs="Arial"/>
                <w:bCs/>
                <w:sz w:val="20"/>
                <w:szCs w:val="20"/>
              </w:rPr>
              <w:t xml:space="preserve">ROP v súlade so schémou pomoci, ktorá je dostupná na webovom sídle </w:t>
            </w:r>
            <w:hyperlink r:id="rId10" w:history="1">
              <w:hyperlink r:id="rId11" w:history="1">
                <w:r w:rsidR="00642032" w:rsidRPr="00FA7A1A">
                  <w:rPr>
                    <w:rStyle w:val="Hypertextovprepojenie"/>
                    <w:sz w:val="20"/>
                  </w:rPr>
                  <w:t>https://www.mirri.gov.sk/mpsr/irop-programove-obdobie-2014-2020/clld/programove-dokumenty/statna-pomoc/index.html</w:t>
                </w:r>
              </w:hyperlink>
            </w:hyperlink>
            <w:r>
              <w:rPr>
                <w:rFonts w:ascii="Arial" w:hAnsi="Arial" w:cs="Arial"/>
                <w:bCs/>
                <w:sz w:val="20"/>
                <w:szCs w:val="20"/>
              </w:rPr>
              <w:t>.</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Žiadateľ </w:t>
            </w:r>
            <w:r>
              <w:rPr>
                <w:rFonts w:ascii="Arial" w:hAnsi="Arial" w:cs="Arial"/>
                <w:bCs/>
                <w:sz w:val="20"/>
                <w:szCs w:val="20"/>
              </w:rPr>
              <w:t>je povinný</w:t>
            </w:r>
            <w:r w:rsidRPr="00A5524B">
              <w:rPr>
                <w:rFonts w:ascii="Arial" w:hAnsi="Arial" w:cs="Arial"/>
                <w:bCs/>
                <w:sz w:val="20"/>
                <w:szCs w:val="20"/>
              </w:rPr>
              <w:t xml:space="preserve"> okrem podmienok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3"/>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rybolovu a akvakultúry,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produktmi rybolovu a akvakultúry,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61CBD95"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37CAEC76" w14:textId="217A7A28" w:rsidR="00997F82" w:rsidRPr="00D835D8" w:rsidRDefault="00997F82" w:rsidP="00D835D8">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tc>
      </w:tr>
      <w:tr w:rsidR="00997F82" w:rsidRPr="0069258C" w14:paraId="21668C57" w14:textId="77777777" w:rsidTr="00F10680">
        <w:tblPrEx>
          <w:shd w:val="clear" w:color="auto" w:fill="auto"/>
          <w:tblCellMar>
            <w:left w:w="57" w:type="dxa"/>
            <w:right w:w="57" w:type="dxa"/>
          </w:tblCellMar>
        </w:tblPrEx>
        <w:trPr>
          <w:trHeight w:val="287"/>
        </w:trPr>
        <w:tc>
          <w:tcPr>
            <w:tcW w:w="10351"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F10680">
        <w:tblPrEx>
          <w:shd w:val="clear" w:color="auto" w:fill="auto"/>
          <w:tblCellMar>
            <w:left w:w="57" w:type="dxa"/>
            <w:right w:w="57" w:type="dxa"/>
          </w:tblCellMar>
        </w:tblPrEx>
        <w:tc>
          <w:tcPr>
            <w:tcW w:w="10351"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4A7B6E3"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642032">
              <w:rPr>
                <w:rFonts w:ascii="Arial" w:hAnsi="Arial" w:cs="Arial"/>
                <w:bCs/>
                <w:sz w:val="20"/>
                <w:szCs w:val="20"/>
              </w:rPr>
              <w:t>3</w:t>
            </w:r>
            <w:r w:rsidRPr="001B23D7">
              <w:rPr>
                <w:rFonts w:ascii="Arial" w:hAnsi="Arial" w:cs="Arial"/>
                <w:bCs/>
                <w:sz w:val="20"/>
                <w:szCs w:val="20"/>
              </w:rPr>
              <w:t xml:space="preserve">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7503480" w14:textId="6B071997" w:rsidR="00997F82" w:rsidRPr="00D835D8" w:rsidRDefault="00997F82" w:rsidP="00D835D8">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hyperlink w:history="1"/>
          </w:p>
        </w:tc>
      </w:tr>
      <w:tr w:rsidR="00997F82" w:rsidRPr="0069258C" w14:paraId="4E8621B2" w14:textId="77777777" w:rsidTr="00F10680">
        <w:tblPrEx>
          <w:shd w:val="clear" w:color="auto" w:fill="auto"/>
          <w:tblCellMar>
            <w:left w:w="57" w:type="dxa"/>
            <w:right w:w="57" w:type="dxa"/>
          </w:tblCellMar>
        </w:tblPrEx>
        <w:trPr>
          <w:trHeight w:val="287"/>
        </w:trPr>
        <w:tc>
          <w:tcPr>
            <w:tcW w:w="10351" w:type="dxa"/>
            <w:shd w:val="clear" w:color="auto" w:fill="F2F2F2" w:themeFill="background1" w:themeFillShade="F2"/>
            <w:vAlign w:val="center"/>
          </w:tcPr>
          <w:p w14:paraId="011CF240" w14:textId="11580E61"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 w:name="_Ref498795443"/>
            <w:r w:rsidRPr="002451DC">
              <w:rPr>
                <w:rFonts w:ascii="Arial" w:hAnsi="Arial" w:cs="Arial"/>
                <w:b/>
                <w:sz w:val="20"/>
                <w:szCs w:val="20"/>
              </w:rPr>
              <w:t>Podmienka mať povolenia na realizáciu aktivít projektu</w:t>
            </w:r>
            <w:bookmarkEnd w:id="4"/>
          </w:p>
        </w:tc>
      </w:tr>
      <w:tr w:rsidR="00997F82" w:rsidRPr="006A79F0" w14:paraId="43BFE94B" w14:textId="77777777" w:rsidTr="00F10680">
        <w:tblPrEx>
          <w:shd w:val="clear" w:color="auto" w:fill="auto"/>
          <w:tblCellMar>
            <w:left w:w="57" w:type="dxa"/>
            <w:right w:w="57" w:type="dxa"/>
          </w:tblCellMar>
        </w:tblPrEx>
        <w:tc>
          <w:tcPr>
            <w:tcW w:w="10351"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lastRenderedPageBreak/>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E6550F8" w:rsidR="00997F82" w:rsidRPr="00493EDA" w:rsidRDefault="00D835D8" w:rsidP="009A65F5">
            <w:pPr>
              <w:pStyle w:val="Odsekzoznamu"/>
              <w:numPr>
                <w:ilvl w:val="0"/>
                <w:numId w:val="57"/>
              </w:numPr>
              <w:spacing w:before="60" w:after="60" w:line="240" w:lineRule="auto"/>
              <w:contextualSpacing w:val="0"/>
              <w:jc w:val="both"/>
              <w:rPr>
                <w:rFonts w:ascii="Arial" w:hAnsi="Arial" w:cs="Arial"/>
                <w:b/>
                <w:color w:val="FF0000"/>
                <w:sz w:val="20"/>
                <w:szCs w:val="20"/>
              </w:rPr>
            </w:pPr>
            <w:r w:rsidRPr="00493EDA">
              <w:rPr>
                <w:rFonts w:ascii="Arial" w:hAnsi="Arial" w:cs="Arial"/>
                <w:b/>
                <w:color w:val="FF0000"/>
                <w:sz w:val="20"/>
                <w:szCs w:val="20"/>
              </w:rPr>
              <w:t xml:space="preserve">9) </w:t>
            </w:r>
            <w:r w:rsidR="00997F82" w:rsidRPr="00493EDA">
              <w:rPr>
                <w:rFonts w:ascii="Arial" w:hAnsi="Arial" w:cs="Arial"/>
                <w:b/>
                <w:color w:val="FF0000"/>
                <w:sz w:val="20"/>
                <w:szCs w:val="20"/>
              </w:rPr>
              <w:t>Doklady od stavebného úradu</w:t>
            </w:r>
          </w:p>
          <w:p w14:paraId="27CB30C1" w14:textId="037BE2B0" w:rsidR="00997F82" w:rsidRPr="00493EDA" w:rsidRDefault="00D835D8" w:rsidP="009A65F5">
            <w:pPr>
              <w:pStyle w:val="Odsekzoznamu"/>
              <w:numPr>
                <w:ilvl w:val="0"/>
                <w:numId w:val="57"/>
              </w:numPr>
              <w:spacing w:before="60" w:after="60" w:line="240" w:lineRule="auto"/>
              <w:contextualSpacing w:val="0"/>
              <w:jc w:val="both"/>
              <w:rPr>
                <w:rFonts w:ascii="Arial" w:hAnsi="Arial" w:cs="Arial"/>
                <w:b/>
                <w:color w:val="FF0000"/>
                <w:sz w:val="20"/>
                <w:szCs w:val="20"/>
              </w:rPr>
            </w:pPr>
            <w:r w:rsidRPr="00493EDA">
              <w:rPr>
                <w:rFonts w:ascii="Arial" w:hAnsi="Arial" w:cs="Arial"/>
                <w:b/>
                <w:color w:val="FF0000"/>
                <w:sz w:val="20"/>
                <w:szCs w:val="20"/>
              </w:rPr>
              <w:t xml:space="preserve">10) </w:t>
            </w:r>
            <w:r w:rsidR="00997F82" w:rsidRPr="00493EDA">
              <w:rPr>
                <w:rFonts w:ascii="Arial" w:hAnsi="Arial" w:cs="Arial"/>
                <w:b/>
                <w:color w:val="FF0000"/>
                <w:sz w:val="20"/>
                <w:szCs w:val="20"/>
              </w:rPr>
              <w:t>Projektová dokumentácia stavby posudzovaná stavebným úradom</w:t>
            </w:r>
            <w:r w:rsidR="00B43B53" w:rsidRPr="00493EDA">
              <w:rPr>
                <w:rFonts w:ascii="Arial" w:hAnsi="Arial" w:cs="Arial"/>
                <w:b/>
                <w:color w:val="FF0000"/>
                <w:sz w:val="20"/>
                <w:szCs w:val="20"/>
              </w:rPr>
              <w:t>, vrátane výkazu výmer</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r w:rsidR="00997F82" w:rsidRPr="00507076" w14:paraId="155F5C45" w14:textId="77777777" w:rsidTr="00F10680">
        <w:tblPrEx>
          <w:shd w:val="clear" w:color="auto" w:fill="auto"/>
          <w:tblCellMar>
            <w:left w:w="57" w:type="dxa"/>
            <w:right w:w="57" w:type="dxa"/>
          </w:tblCellMar>
        </w:tblPrEx>
        <w:trPr>
          <w:trHeight w:val="287"/>
        </w:trPr>
        <w:tc>
          <w:tcPr>
            <w:tcW w:w="10351"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lastRenderedPageBreak/>
              <w:t>Podmienka mať vysporiadané majetkovo-právne vzťahy</w:t>
            </w:r>
          </w:p>
        </w:tc>
      </w:tr>
      <w:tr w:rsidR="00997F82" w:rsidRPr="006A79F0" w14:paraId="160FA986" w14:textId="77777777" w:rsidTr="00F10680">
        <w:tblPrEx>
          <w:shd w:val="clear" w:color="auto" w:fill="auto"/>
          <w:tblCellMar>
            <w:left w:w="57" w:type="dxa"/>
            <w:right w:w="57" w:type="dxa"/>
          </w:tblCellMar>
        </w:tblPrEx>
        <w:tc>
          <w:tcPr>
            <w:tcW w:w="10351"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75941E96"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000D532B">
              <w:rPr>
                <w:rFonts w:ascii="Arial" w:hAnsi="Arial" w:cs="Arial"/>
                <w:sz w:val="20"/>
                <w:szCs w:val="20"/>
                <w:lang w:eastAsia="en-US"/>
              </w:rPr>
              <w:t>11</w:t>
            </w:r>
            <w:r w:rsidRPr="00003CBA">
              <w:rPr>
                <w:rFonts w:ascii="Arial" w:hAnsi="Arial" w:cs="Arial"/>
                <w:sz w:val="20"/>
                <w:szCs w:val="20"/>
                <w:lang w:eastAsia="en-US"/>
              </w:rPr>
              <w:fldChar w:fldCharType="end"/>
            </w:r>
            <w:r w:rsidR="00CF21D0">
              <w:rPr>
                <w:rFonts w:ascii="Arial" w:hAnsi="Arial" w:cs="Arial"/>
                <w:sz w:val="20"/>
                <w:szCs w:val="20"/>
                <w:lang w:eastAsia="en-US"/>
              </w:rPr>
              <w:t>5</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1824368A" w:rsidR="00997F82" w:rsidRPr="00493EDA" w:rsidRDefault="00A93302" w:rsidP="009A65F5">
            <w:pPr>
              <w:pStyle w:val="Odsekzoznamu"/>
              <w:spacing w:before="120" w:after="120" w:line="240" w:lineRule="auto"/>
              <w:ind w:left="85" w:right="85"/>
              <w:jc w:val="both"/>
              <w:rPr>
                <w:rFonts w:ascii="Arial" w:hAnsi="Arial" w:cs="Arial"/>
                <w:b/>
                <w:color w:val="FF0000"/>
                <w:sz w:val="20"/>
                <w:szCs w:val="20"/>
              </w:rPr>
            </w:pPr>
            <w:r w:rsidRPr="00493EDA">
              <w:rPr>
                <w:rFonts w:ascii="Arial" w:hAnsi="Arial" w:cs="Arial"/>
                <w:b/>
                <w:color w:val="FF0000"/>
                <w:sz w:val="20"/>
                <w:szCs w:val="20"/>
              </w:rPr>
              <w:t>11)</w:t>
            </w:r>
            <w:r w:rsidR="00997F82" w:rsidRPr="00493EDA">
              <w:rPr>
                <w:rFonts w:ascii="Arial" w:hAnsi="Arial" w:cs="Arial"/>
                <w:b/>
                <w:color w:val="FF0000"/>
                <w:sz w:val="20"/>
                <w:szCs w:val="20"/>
              </w:rPr>
              <w:t xml:space="preserve"> </w:t>
            </w:r>
            <w:r w:rsidRPr="00493EDA">
              <w:rPr>
                <w:rFonts w:ascii="Arial" w:hAnsi="Arial" w:cs="Arial"/>
                <w:b/>
                <w:color w:val="FF0000"/>
                <w:sz w:val="20"/>
                <w:szCs w:val="20"/>
              </w:rPr>
              <w:t xml:space="preserve"> </w:t>
            </w:r>
            <w:r w:rsidR="00997F82" w:rsidRPr="00493EDA">
              <w:rPr>
                <w:rFonts w:ascii="Arial" w:hAnsi="Arial" w:cs="Arial"/>
                <w:b/>
                <w:color w:val="FF0000"/>
                <w:sz w:val="20"/>
                <w:szCs w:val="20"/>
              </w:rPr>
              <w:t>príloha ŽoPr - Doklady preukazujúce vysporiadanie majetkovo-právnych vzťahov</w:t>
            </w:r>
          </w:p>
          <w:p w14:paraId="404D115E" w14:textId="67A016B1" w:rsidR="00493EDA" w:rsidRDefault="00493EDA" w:rsidP="009A65F5">
            <w:pPr>
              <w:pStyle w:val="Odsekzoznamu"/>
              <w:spacing w:before="120" w:after="120" w:line="240" w:lineRule="auto"/>
              <w:ind w:left="85" w:right="85"/>
              <w:jc w:val="both"/>
              <w:rPr>
                <w:rFonts w:ascii="Arial" w:hAnsi="Arial" w:cs="Arial"/>
                <w:bCs/>
                <w:color w:val="FF0000"/>
                <w:sz w:val="20"/>
                <w:szCs w:val="20"/>
              </w:rPr>
            </w:pPr>
          </w:p>
          <w:p w14:paraId="4A9A59B4" w14:textId="77777777" w:rsidR="00493EDA" w:rsidRPr="00D01EF0" w:rsidRDefault="00493EDA" w:rsidP="00493EDA">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1E702383" w14:textId="77777777" w:rsidR="00493EDA" w:rsidRPr="00AE5DF4" w:rsidRDefault="00493EDA" w:rsidP="00493EDA">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4F0F1941" w14:textId="77777777" w:rsidR="00493EDA" w:rsidRPr="00D01EF0" w:rsidRDefault="00493EDA" w:rsidP="00493EDA">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148A317" w14:textId="77777777" w:rsidR="00493EDA" w:rsidRPr="00D01EF0" w:rsidRDefault="00493EDA" w:rsidP="00493EDA">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2AA55FFB" w14:textId="77777777" w:rsidR="00493EDA" w:rsidRPr="00D01EF0" w:rsidRDefault="00493EDA" w:rsidP="00493EDA">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255FE39F" w14:textId="77777777" w:rsidR="00493EDA" w:rsidRPr="00D01EF0" w:rsidRDefault="00493EDA" w:rsidP="00493EDA">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6AAC1085" w14:textId="77777777" w:rsidR="00493EDA" w:rsidRPr="00D01EF0" w:rsidRDefault="00493EDA" w:rsidP="00493EDA">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66029C46" w14:textId="77777777" w:rsidR="00493EDA" w:rsidRPr="00D01EF0" w:rsidRDefault="00493EDA" w:rsidP="00493EDA">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0D322118" w14:textId="77777777" w:rsidR="00493EDA" w:rsidRPr="00D01EF0" w:rsidRDefault="00493EDA" w:rsidP="00493EDA">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572C4C44" w14:textId="77777777" w:rsidR="00493EDA" w:rsidRPr="00D01EF0" w:rsidRDefault="00493EDA" w:rsidP="00493EDA">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976AF88" w14:textId="77777777" w:rsidR="00493EDA" w:rsidRPr="00D01EF0" w:rsidRDefault="00493EDA" w:rsidP="00493EDA">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3938E4A6" w14:textId="77777777" w:rsidR="00493EDA" w:rsidRPr="00D01EF0" w:rsidRDefault="00493EDA" w:rsidP="00493EDA">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56A891E4" w14:textId="77777777" w:rsidR="00493EDA" w:rsidRPr="00D01EF0" w:rsidRDefault="00493EDA" w:rsidP="00493EDA">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1BF1ACA6" w14:textId="77777777" w:rsidR="00493EDA" w:rsidRPr="00D01EF0" w:rsidRDefault="00493EDA" w:rsidP="00493EDA">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21792776" w14:textId="77777777" w:rsidR="00493EDA" w:rsidRPr="00D01EF0" w:rsidRDefault="00493EDA" w:rsidP="00493EDA">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295AA8EF" w14:textId="16E1BAA0" w:rsidR="00997F82" w:rsidRPr="00A93302" w:rsidRDefault="00997F82" w:rsidP="00CC2188">
            <w:pPr>
              <w:pStyle w:val="Odsekzoznamu"/>
              <w:spacing w:before="120" w:after="120" w:line="240" w:lineRule="auto"/>
              <w:ind w:left="85" w:right="85"/>
              <w:jc w:val="both"/>
              <w:rPr>
                <w:rFonts w:ascii="Arial" w:hAnsi="Arial" w:cs="Arial"/>
                <w:b/>
                <w:bCs/>
                <w:sz w:val="20"/>
                <w:szCs w:val="20"/>
              </w:rPr>
            </w:pPr>
          </w:p>
        </w:tc>
      </w:tr>
      <w:tr w:rsidR="00997F82" w:rsidRPr="00507076" w14:paraId="5056DFB0" w14:textId="77777777" w:rsidTr="00F10680">
        <w:tblPrEx>
          <w:shd w:val="clear" w:color="auto" w:fill="auto"/>
          <w:tblCellMar>
            <w:left w:w="57" w:type="dxa"/>
            <w:right w:w="57" w:type="dxa"/>
          </w:tblCellMar>
        </w:tblPrEx>
        <w:trPr>
          <w:trHeight w:val="287"/>
        </w:trPr>
        <w:tc>
          <w:tcPr>
            <w:tcW w:w="10351" w:type="dxa"/>
            <w:shd w:val="clear" w:color="auto" w:fill="F2F2F2" w:themeFill="background1" w:themeFillShade="F2"/>
            <w:vAlign w:val="center"/>
          </w:tcPr>
          <w:p w14:paraId="71E74534" w14:textId="1F741849"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85182"/>
            <w:r w:rsidRPr="00A268F6">
              <w:rPr>
                <w:rFonts w:ascii="Arial" w:hAnsi="Arial" w:cs="Arial"/>
                <w:b/>
                <w:sz w:val="20"/>
                <w:szCs w:val="20"/>
              </w:rPr>
              <w:t>Maximálna a minimálna výška príspevku</w:t>
            </w:r>
            <w:bookmarkEnd w:id="5"/>
          </w:p>
        </w:tc>
      </w:tr>
      <w:tr w:rsidR="00997F82" w:rsidRPr="006A79F0" w14:paraId="335E418D" w14:textId="77777777" w:rsidTr="00F10680">
        <w:tblPrEx>
          <w:shd w:val="clear" w:color="auto" w:fill="auto"/>
          <w:tblCellMar>
            <w:left w:w="57" w:type="dxa"/>
            <w:right w:w="57" w:type="dxa"/>
          </w:tblCellMar>
        </w:tblPrEx>
        <w:tc>
          <w:tcPr>
            <w:tcW w:w="10351"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1DF890BD" w:rsidR="00997F82" w:rsidRPr="00493EDA" w:rsidRDefault="00997F82" w:rsidP="00CD453C">
            <w:pPr>
              <w:pStyle w:val="Odsekzoznamu"/>
              <w:spacing w:before="120" w:after="0" w:line="240" w:lineRule="auto"/>
              <w:ind w:left="85" w:right="85"/>
              <w:contextualSpacing w:val="0"/>
              <w:jc w:val="both"/>
              <w:rPr>
                <w:rFonts w:ascii="Arial" w:hAnsi="Arial" w:cs="Arial"/>
                <w:bCs/>
                <w:szCs w:val="24"/>
              </w:rPr>
            </w:pPr>
            <w:r w:rsidRPr="00493EDA">
              <w:rPr>
                <w:rFonts w:ascii="Arial" w:hAnsi="Arial" w:cs="Arial"/>
                <w:bCs/>
                <w:szCs w:val="24"/>
              </w:rPr>
              <w:t xml:space="preserve">Minimálna výška príspevku: </w:t>
            </w:r>
            <w:r w:rsidR="00C71335" w:rsidRPr="00493EDA">
              <w:rPr>
                <w:rFonts w:ascii="Arial" w:hAnsi="Arial" w:cs="Arial"/>
                <w:bCs/>
                <w:szCs w:val="24"/>
              </w:rPr>
              <w:t xml:space="preserve"> </w:t>
            </w:r>
            <w:r w:rsidR="00C71335" w:rsidRPr="00493EDA">
              <w:rPr>
                <w:rFonts w:ascii="Arial" w:hAnsi="Arial" w:cs="Arial"/>
                <w:b/>
                <w:szCs w:val="24"/>
              </w:rPr>
              <w:t>10 000,00</w:t>
            </w:r>
            <w:r w:rsidRPr="00493EDA">
              <w:rPr>
                <w:rFonts w:ascii="Arial" w:hAnsi="Arial" w:cs="Arial"/>
                <w:b/>
                <w:szCs w:val="24"/>
              </w:rPr>
              <w:t xml:space="preserve"> EUR</w:t>
            </w:r>
          </w:p>
          <w:p w14:paraId="582FBBB1" w14:textId="4D40967D" w:rsidR="00997F82" w:rsidRPr="00493EDA" w:rsidRDefault="00997F82" w:rsidP="00CD453C">
            <w:pPr>
              <w:pStyle w:val="Odsekzoznamu"/>
              <w:spacing w:after="120" w:line="240" w:lineRule="auto"/>
              <w:ind w:left="85" w:right="85"/>
              <w:contextualSpacing w:val="0"/>
              <w:jc w:val="both"/>
              <w:rPr>
                <w:rFonts w:ascii="Arial" w:hAnsi="Arial" w:cs="Arial"/>
                <w:bCs/>
                <w:szCs w:val="24"/>
              </w:rPr>
            </w:pPr>
            <w:r w:rsidRPr="00493EDA">
              <w:rPr>
                <w:rFonts w:ascii="Arial" w:hAnsi="Arial" w:cs="Arial"/>
                <w:bCs/>
                <w:szCs w:val="24"/>
              </w:rPr>
              <w:t xml:space="preserve">Maximálna výška príspevku: </w:t>
            </w:r>
            <w:r w:rsidR="00C71335" w:rsidRPr="00493EDA">
              <w:rPr>
                <w:rFonts w:ascii="Arial" w:hAnsi="Arial" w:cs="Arial"/>
                <w:b/>
                <w:szCs w:val="24"/>
              </w:rPr>
              <w:t>80 000,00</w:t>
            </w:r>
            <w:r w:rsidRPr="00493EDA">
              <w:rPr>
                <w:rFonts w:ascii="Arial" w:hAnsi="Arial" w:cs="Arial"/>
                <w:b/>
                <w:szCs w:val="24"/>
              </w:rPr>
              <w:t xml:space="preserve"> EUR</w:t>
            </w:r>
            <w:r w:rsidRPr="00493EDA">
              <w:rPr>
                <w:rFonts w:ascii="Arial" w:hAnsi="Arial" w:cs="Arial"/>
                <w:bCs/>
                <w:szCs w:val="24"/>
              </w:rPr>
              <w:t xml:space="preserve"> </w:t>
            </w:r>
          </w:p>
          <w:p w14:paraId="41DA0B88" w14:textId="64F93D3E" w:rsidR="00493EDA" w:rsidRDefault="00493EDA" w:rsidP="00CD453C">
            <w:pPr>
              <w:pStyle w:val="Odsekzoznamu"/>
              <w:spacing w:after="120" w:line="240" w:lineRule="auto"/>
              <w:ind w:left="85" w:right="85"/>
              <w:contextualSpacing w:val="0"/>
              <w:jc w:val="both"/>
              <w:rPr>
                <w:rFonts w:ascii="Arial" w:hAnsi="Arial" w:cs="Arial"/>
                <w:bCs/>
                <w:sz w:val="20"/>
                <w:szCs w:val="20"/>
              </w:rPr>
            </w:pPr>
          </w:p>
          <w:p w14:paraId="48AF4F63" w14:textId="381F50BB" w:rsidR="00493EDA" w:rsidRDefault="00493EDA" w:rsidP="00CD453C">
            <w:pPr>
              <w:pStyle w:val="Odsekzoznamu"/>
              <w:spacing w:after="120" w:line="240" w:lineRule="auto"/>
              <w:ind w:left="85" w:right="85"/>
              <w:contextualSpacing w:val="0"/>
              <w:jc w:val="both"/>
              <w:rPr>
                <w:rFonts w:ascii="Arial" w:hAnsi="Arial" w:cs="Arial"/>
                <w:b/>
                <w:szCs w:val="24"/>
              </w:rPr>
            </w:pPr>
            <w:r w:rsidRPr="00493EDA">
              <w:rPr>
                <w:rFonts w:ascii="Arial" w:hAnsi="Arial" w:cs="Arial"/>
                <w:b/>
                <w:szCs w:val="24"/>
              </w:rPr>
              <w:t>Spolufinancovanie žiadateľa vo výške 45%</w:t>
            </w:r>
          </w:p>
          <w:tbl>
            <w:tblPr>
              <w:tblStyle w:val="Mriekatabuky"/>
              <w:tblW w:w="0" w:type="auto"/>
              <w:tblInd w:w="85" w:type="dxa"/>
              <w:tblLook w:val="04A0" w:firstRow="1" w:lastRow="0" w:firstColumn="1" w:lastColumn="0" w:noHBand="0" w:noVBand="1"/>
            </w:tblPr>
            <w:tblGrid>
              <w:gridCol w:w="1088"/>
              <w:gridCol w:w="2357"/>
              <w:gridCol w:w="1105"/>
              <w:gridCol w:w="857"/>
              <w:gridCol w:w="4735"/>
            </w:tblGrid>
            <w:tr w:rsidR="00CD5AD8" w14:paraId="3C4BE1CE" w14:textId="77777777" w:rsidTr="0014423A">
              <w:tc>
                <w:tcPr>
                  <w:tcW w:w="1088" w:type="dxa"/>
                </w:tcPr>
                <w:p w14:paraId="66418AE3" w14:textId="77777777" w:rsidR="00CD5AD8" w:rsidRPr="0014423A" w:rsidRDefault="00CD5AD8" w:rsidP="00CD5AD8">
                  <w:pPr>
                    <w:pStyle w:val="Default"/>
                    <w:rPr>
                      <w:sz w:val="16"/>
                      <w:szCs w:val="16"/>
                    </w:rPr>
                  </w:pPr>
                  <w:r w:rsidRPr="0014423A">
                    <w:rPr>
                      <w:sz w:val="16"/>
                      <w:szCs w:val="16"/>
                    </w:rPr>
                    <w:t xml:space="preserve">Vytvorenie pracovného </w:t>
                  </w:r>
                </w:p>
                <w:p w14:paraId="584FEC7D" w14:textId="2E13E42E" w:rsidR="00CD5AD8" w:rsidRPr="0014423A" w:rsidRDefault="00CD5AD8" w:rsidP="00CD5AD8">
                  <w:pPr>
                    <w:pStyle w:val="Odsekzoznamu"/>
                    <w:spacing w:after="120" w:line="240" w:lineRule="auto"/>
                    <w:ind w:left="0" w:right="85"/>
                    <w:contextualSpacing w:val="0"/>
                    <w:jc w:val="both"/>
                    <w:rPr>
                      <w:rFonts w:ascii="Arial" w:hAnsi="Arial" w:cs="Arial"/>
                      <w:b/>
                      <w:sz w:val="16"/>
                      <w:szCs w:val="16"/>
                    </w:rPr>
                  </w:pPr>
                  <w:r w:rsidRPr="0014423A">
                    <w:rPr>
                      <w:rFonts w:ascii="Arial" w:hAnsi="Arial" w:cs="Arial"/>
                      <w:sz w:val="16"/>
                      <w:szCs w:val="16"/>
                    </w:rPr>
                    <w:t>miesta</w:t>
                  </w:r>
                </w:p>
              </w:tc>
              <w:tc>
                <w:tcPr>
                  <w:tcW w:w="2357" w:type="dxa"/>
                </w:tcPr>
                <w:p w14:paraId="10E09EFA" w14:textId="45ACA92A" w:rsidR="00CD5AD8" w:rsidRPr="0014423A" w:rsidRDefault="00CD5AD8" w:rsidP="00CD5AD8">
                  <w:pPr>
                    <w:pStyle w:val="Odsekzoznamu"/>
                    <w:spacing w:after="120" w:line="240" w:lineRule="auto"/>
                    <w:ind w:left="0" w:right="85"/>
                    <w:contextualSpacing w:val="0"/>
                    <w:jc w:val="both"/>
                    <w:rPr>
                      <w:rFonts w:ascii="Arial" w:hAnsi="Arial" w:cs="Arial"/>
                      <w:b/>
                      <w:sz w:val="16"/>
                      <w:szCs w:val="16"/>
                    </w:rPr>
                  </w:pPr>
                  <w:r w:rsidRPr="0014423A">
                    <w:rPr>
                      <w:rFonts w:ascii="Arial" w:hAnsi="Arial" w:cs="Arial"/>
                      <w:sz w:val="16"/>
                      <w:szCs w:val="16"/>
                    </w:rPr>
                    <w:t xml:space="preserve">Posudzuje sa, či žiadateľ vytvorí minimálne 0,5 úväzkové pracovné miesto FTE. </w:t>
                  </w:r>
                </w:p>
              </w:tc>
              <w:tc>
                <w:tcPr>
                  <w:tcW w:w="1105" w:type="dxa"/>
                </w:tcPr>
                <w:p w14:paraId="143FA3C8" w14:textId="73FE6C59" w:rsidR="00CD5AD8" w:rsidRPr="0014423A" w:rsidRDefault="00CD5AD8" w:rsidP="00CD5AD8">
                  <w:pPr>
                    <w:pStyle w:val="Odsekzoznamu"/>
                    <w:spacing w:after="120" w:line="240" w:lineRule="auto"/>
                    <w:ind w:left="0" w:right="85"/>
                    <w:contextualSpacing w:val="0"/>
                    <w:jc w:val="both"/>
                    <w:rPr>
                      <w:rFonts w:ascii="Arial" w:hAnsi="Arial" w:cs="Arial"/>
                      <w:b/>
                      <w:sz w:val="16"/>
                      <w:szCs w:val="16"/>
                    </w:rPr>
                  </w:pPr>
                  <w:r w:rsidRPr="0014423A">
                    <w:rPr>
                      <w:rFonts w:ascii="Arial" w:hAnsi="Arial" w:cs="Arial"/>
                      <w:sz w:val="16"/>
                      <w:szCs w:val="16"/>
                    </w:rPr>
                    <w:t xml:space="preserve">Vylučujúce kritérium </w:t>
                  </w:r>
                </w:p>
              </w:tc>
              <w:tc>
                <w:tcPr>
                  <w:tcW w:w="857" w:type="dxa"/>
                </w:tcPr>
                <w:p w14:paraId="687AE3A8" w14:textId="028F7F5B" w:rsidR="00CD5AD8" w:rsidRPr="0014423A" w:rsidRDefault="00CD5AD8" w:rsidP="00CD5AD8">
                  <w:pPr>
                    <w:pStyle w:val="Odsekzoznamu"/>
                    <w:spacing w:after="120" w:line="240" w:lineRule="auto"/>
                    <w:ind w:left="0" w:right="85"/>
                    <w:contextualSpacing w:val="0"/>
                    <w:jc w:val="both"/>
                    <w:rPr>
                      <w:rFonts w:ascii="Arial" w:hAnsi="Arial" w:cs="Arial"/>
                      <w:b/>
                      <w:sz w:val="16"/>
                      <w:szCs w:val="16"/>
                    </w:rPr>
                  </w:pPr>
                  <w:r w:rsidRPr="0014423A">
                    <w:rPr>
                      <w:rFonts w:ascii="Arial" w:hAnsi="Arial" w:cs="Arial"/>
                      <w:sz w:val="16"/>
                      <w:szCs w:val="16"/>
                    </w:rPr>
                    <w:t xml:space="preserve">áno </w:t>
                  </w:r>
                </w:p>
              </w:tc>
              <w:tc>
                <w:tcPr>
                  <w:tcW w:w="4735" w:type="dxa"/>
                </w:tcPr>
                <w:p w14:paraId="4D7C801E" w14:textId="0BE29989" w:rsidR="00CD5AD8" w:rsidRPr="0014423A" w:rsidRDefault="00CD5AD8" w:rsidP="00CD5AD8">
                  <w:pPr>
                    <w:pStyle w:val="Odsekzoznamu"/>
                    <w:spacing w:after="120" w:line="240" w:lineRule="auto"/>
                    <w:ind w:left="0" w:right="85"/>
                    <w:contextualSpacing w:val="0"/>
                    <w:jc w:val="both"/>
                    <w:rPr>
                      <w:rFonts w:ascii="Arial" w:hAnsi="Arial" w:cs="Arial"/>
                      <w:b/>
                      <w:sz w:val="16"/>
                      <w:szCs w:val="16"/>
                    </w:rPr>
                  </w:pPr>
                  <w:r w:rsidRPr="0014423A">
                    <w:rPr>
                      <w:rFonts w:ascii="Arial" w:hAnsi="Arial" w:cs="Arial"/>
                      <w:sz w:val="16"/>
                      <w:szCs w:val="16"/>
                    </w:rPr>
                    <w:t xml:space="preserve"> </w:t>
                  </w:r>
                </w:p>
              </w:tc>
            </w:tr>
            <w:tr w:rsidR="00CD5AD8" w14:paraId="6A15620D" w14:textId="77777777" w:rsidTr="0014423A">
              <w:trPr>
                <w:trHeight w:val="2028"/>
              </w:trPr>
              <w:tc>
                <w:tcPr>
                  <w:tcW w:w="1088" w:type="dxa"/>
                </w:tcPr>
                <w:p w14:paraId="7EB5E644" w14:textId="77777777" w:rsidR="00CD5AD8" w:rsidRPr="0014423A" w:rsidRDefault="00CD5AD8" w:rsidP="00CD5AD8">
                  <w:pPr>
                    <w:pStyle w:val="Default"/>
                    <w:rPr>
                      <w:sz w:val="16"/>
                      <w:szCs w:val="16"/>
                    </w:rPr>
                  </w:pPr>
                  <w:r w:rsidRPr="0014423A">
                    <w:rPr>
                      <w:sz w:val="16"/>
                      <w:szCs w:val="16"/>
                    </w:rPr>
                    <w:lastRenderedPageBreak/>
                    <w:t xml:space="preserve">Hodnota vytvoreného </w:t>
                  </w:r>
                </w:p>
                <w:p w14:paraId="64034454" w14:textId="1883862E" w:rsidR="00CD5AD8" w:rsidRPr="0014423A" w:rsidRDefault="00CD5AD8" w:rsidP="00CD5AD8">
                  <w:pPr>
                    <w:pStyle w:val="Default"/>
                    <w:rPr>
                      <w:sz w:val="16"/>
                      <w:szCs w:val="16"/>
                    </w:rPr>
                  </w:pPr>
                  <w:r w:rsidRPr="0014423A">
                    <w:rPr>
                      <w:sz w:val="16"/>
                      <w:szCs w:val="16"/>
                    </w:rPr>
                    <w:t>pracovného miesta</w:t>
                  </w:r>
                </w:p>
              </w:tc>
              <w:tc>
                <w:tcPr>
                  <w:tcW w:w="2357" w:type="dxa"/>
                </w:tcPr>
                <w:p w14:paraId="6C612D58" w14:textId="442E1E81" w:rsidR="00CD5AD8" w:rsidRPr="0014423A" w:rsidRDefault="00642032" w:rsidP="00CD5AD8">
                  <w:pPr>
                    <w:pStyle w:val="Odsekzoznamu"/>
                    <w:spacing w:after="120" w:line="240" w:lineRule="auto"/>
                    <w:ind w:left="0" w:right="85"/>
                    <w:contextualSpacing w:val="0"/>
                    <w:jc w:val="both"/>
                    <w:rPr>
                      <w:rFonts w:ascii="Arial" w:hAnsi="Arial" w:cs="Arial"/>
                      <w:sz w:val="16"/>
                      <w:szCs w:val="16"/>
                    </w:rPr>
                  </w:pPr>
                  <w:r w:rsidRPr="00642032">
                    <w:rPr>
                      <w:rFonts w:ascii="Arial" w:hAnsi="Arial" w:cs="Arial"/>
                      <w:sz w:val="16"/>
                      <w:szCs w:val="16"/>
                    </w:rPr>
                    <w:t>Posudzuje sa hodnota vytvoreného pracovného miesta. Hodnota pracovného miesta sa vypočíta ako výška schváleného príspevku k plánovanej hodnote merateľného ukazovateľa A104 Počet vytvorených pracovných miest.</w:t>
                  </w:r>
                </w:p>
              </w:tc>
              <w:tc>
                <w:tcPr>
                  <w:tcW w:w="1105" w:type="dxa"/>
                </w:tcPr>
                <w:p w14:paraId="6DCEF065" w14:textId="77777777" w:rsidR="00CD5AD8" w:rsidRPr="0014423A" w:rsidRDefault="00CD5AD8" w:rsidP="00CD5AD8">
                  <w:pPr>
                    <w:pStyle w:val="Default"/>
                    <w:jc w:val="both"/>
                    <w:rPr>
                      <w:sz w:val="16"/>
                      <w:szCs w:val="16"/>
                    </w:rPr>
                  </w:pPr>
                  <w:r w:rsidRPr="0014423A">
                    <w:rPr>
                      <w:sz w:val="16"/>
                      <w:szCs w:val="16"/>
                    </w:rPr>
                    <w:t xml:space="preserve">Bodové kritérium </w:t>
                  </w:r>
                </w:p>
                <w:p w14:paraId="67157936" w14:textId="77777777" w:rsidR="00CD5AD8" w:rsidRPr="0014423A" w:rsidRDefault="00CD5AD8" w:rsidP="00CD5AD8">
                  <w:pPr>
                    <w:pStyle w:val="Odsekzoznamu"/>
                    <w:spacing w:after="120" w:line="240" w:lineRule="auto"/>
                    <w:ind w:left="0" w:right="85"/>
                    <w:contextualSpacing w:val="0"/>
                    <w:jc w:val="both"/>
                    <w:rPr>
                      <w:rFonts w:ascii="Arial" w:hAnsi="Arial" w:cs="Arial"/>
                      <w:sz w:val="16"/>
                      <w:szCs w:val="16"/>
                    </w:rPr>
                  </w:pPr>
                </w:p>
              </w:tc>
              <w:tc>
                <w:tcPr>
                  <w:tcW w:w="857" w:type="dxa"/>
                </w:tcPr>
                <w:p w14:paraId="3920CDE1" w14:textId="77777777" w:rsidR="00CD5AD8" w:rsidRPr="0014423A" w:rsidRDefault="00CD5AD8" w:rsidP="00CD5AD8">
                  <w:pPr>
                    <w:pStyle w:val="Odsekzoznamu"/>
                    <w:spacing w:after="120" w:line="240" w:lineRule="auto"/>
                    <w:ind w:left="0" w:right="85"/>
                    <w:contextualSpacing w:val="0"/>
                    <w:jc w:val="both"/>
                    <w:rPr>
                      <w:rFonts w:ascii="Arial" w:hAnsi="Arial" w:cs="Arial"/>
                      <w:sz w:val="16"/>
                      <w:szCs w:val="16"/>
                    </w:rPr>
                  </w:pPr>
                  <w:r w:rsidRPr="0014423A">
                    <w:rPr>
                      <w:rFonts w:ascii="Arial" w:hAnsi="Arial" w:cs="Arial"/>
                      <w:sz w:val="16"/>
                      <w:szCs w:val="16"/>
                    </w:rPr>
                    <w:t xml:space="preserve">0 bodov </w:t>
                  </w:r>
                </w:p>
                <w:p w14:paraId="66C522EE" w14:textId="77777777" w:rsidR="00CD5AD8" w:rsidRPr="0014423A" w:rsidRDefault="00CD5AD8" w:rsidP="00CD5AD8">
                  <w:pPr>
                    <w:pStyle w:val="Odsekzoznamu"/>
                    <w:spacing w:after="120" w:line="240" w:lineRule="auto"/>
                    <w:ind w:left="0" w:right="85"/>
                    <w:contextualSpacing w:val="0"/>
                    <w:jc w:val="both"/>
                    <w:rPr>
                      <w:rFonts w:ascii="Arial" w:hAnsi="Arial" w:cs="Arial"/>
                      <w:sz w:val="16"/>
                      <w:szCs w:val="16"/>
                    </w:rPr>
                  </w:pPr>
                </w:p>
                <w:p w14:paraId="43008866" w14:textId="1BEB3F88" w:rsidR="0014423A" w:rsidRPr="0014423A" w:rsidRDefault="0014423A" w:rsidP="0014423A">
                  <w:pPr>
                    <w:spacing w:after="120" w:line="240" w:lineRule="auto"/>
                    <w:ind w:right="85"/>
                    <w:jc w:val="both"/>
                    <w:rPr>
                      <w:rFonts w:ascii="Arial" w:hAnsi="Arial" w:cs="Arial"/>
                      <w:sz w:val="16"/>
                      <w:szCs w:val="16"/>
                    </w:rPr>
                  </w:pPr>
                  <w:r>
                    <w:rPr>
                      <w:rFonts w:ascii="Arial" w:hAnsi="Arial" w:cs="Arial"/>
                      <w:sz w:val="16"/>
                      <w:szCs w:val="16"/>
                    </w:rPr>
                    <w:t>4</w:t>
                  </w:r>
                  <w:r w:rsidRPr="0014423A">
                    <w:rPr>
                      <w:rFonts w:ascii="Arial" w:hAnsi="Arial" w:cs="Arial"/>
                      <w:sz w:val="16"/>
                      <w:szCs w:val="16"/>
                    </w:rPr>
                    <w:t xml:space="preserve"> body</w:t>
                  </w:r>
                </w:p>
                <w:p w14:paraId="0FDFCAB7" w14:textId="77777777" w:rsidR="0014423A" w:rsidRDefault="0014423A" w:rsidP="0014423A">
                  <w:pPr>
                    <w:spacing w:after="120" w:line="240" w:lineRule="auto"/>
                    <w:ind w:right="85"/>
                    <w:jc w:val="both"/>
                    <w:rPr>
                      <w:rFonts w:ascii="Arial" w:hAnsi="Arial" w:cs="Arial"/>
                      <w:sz w:val="16"/>
                      <w:szCs w:val="16"/>
                    </w:rPr>
                  </w:pPr>
                </w:p>
                <w:p w14:paraId="30174E81" w14:textId="7DF73601" w:rsidR="0014423A" w:rsidRPr="0014423A" w:rsidRDefault="0014423A" w:rsidP="0014423A">
                  <w:pPr>
                    <w:spacing w:after="120" w:line="240" w:lineRule="auto"/>
                    <w:ind w:right="85"/>
                    <w:jc w:val="both"/>
                    <w:rPr>
                      <w:rFonts w:ascii="Arial" w:hAnsi="Arial" w:cs="Arial"/>
                      <w:sz w:val="16"/>
                      <w:szCs w:val="16"/>
                    </w:rPr>
                  </w:pPr>
                  <w:r w:rsidRPr="0014423A">
                    <w:rPr>
                      <w:rFonts w:ascii="Arial" w:hAnsi="Arial" w:cs="Arial"/>
                      <w:sz w:val="16"/>
                      <w:szCs w:val="16"/>
                    </w:rPr>
                    <w:t>8 bodov</w:t>
                  </w:r>
                </w:p>
                <w:p w14:paraId="3DD7EA5A" w14:textId="44F5BC5F" w:rsidR="00CD5AD8" w:rsidRPr="0014423A" w:rsidRDefault="00CD5AD8" w:rsidP="0014423A">
                  <w:pPr>
                    <w:pStyle w:val="Odsekzoznamu"/>
                    <w:spacing w:after="120" w:line="240" w:lineRule="auto"/>
                    <w:ind w:left="0" w:right="85"/>
                    <w:contextualSpacing w:val="0"/>
                    <w:jc w:val="both"/>
                    <w:rPr>
                      <w:rFonts w:ascii="Arial" w:hAnsi="Arial" w:cs="Arial"/>
                      <w:sz w:val="16"/>
                      <w:szCs w:val="16"/>
                    </w:rPr>
                  </w:pPr>
                </w:p>
              </w:tc>
              <w:tc>
                <w:tcPr>
                  <w:tcW w:w="4735" w:type="dxa"/>
                </w:tcPr>
                <w:p w14:paraId="2B5F4BD7" w14:textId="77777777" w:rsidR="00642032" w:rsidRPr="00642032" w:rsidRDefault="00642032" w:rsidP="00642032">
                  <w:pPr>
                    <w:pStyle w:val="Default"/>
                    <w:rPr>
                      <w:sz w:val="16"/>
                      <w:szCs w:val="16"/>
                    </w:rPr>
                  </w:pPr>
                  <w:r w:rsidRPr="00642032">
                    <w:rPr>
                      <w:sz w:val="16"/>
                      <w:szCs w:val="16"/>
                    </w:rPr>
                    <w:t>Ak je hodnota pracovného miesta FTE rovná alebo vyššia ako 100 000 EUR</w:t>
                  </w:r>
                </w:p>
                <w:p w14:paraId="12370C4D" w14:textId="77777777" w:rsidR="00642032" w:rsidRDefault="00642032" w:rsidP="00642032">
                  <w:pPr>
                    <w:pStyle w:val="Default"/>
                    <w:rPr>
                      <w:sz w:val="16"/>
                      <w:szCs w:val="16"/>
                    </w:rPr>
                  </w:pPr>
                </w:p>
                <w:p w14:paraId="70D804E7" w14:textId="77777777" w:rsidR="00642032" w:rsidRDefault="00642032" w:rsidP="00642032">
                  <w:pPr>
                    <w:pStyle w:val="Default"/>
                    <w:rPr>
                      <w:sz w:val="16"/>
                      <w:szCs w:val="16"/>
                    </w:rPr>
                  </w:pPr>
                </w:p>
                <w:p w14:paraId="1D8C1F25" w14:textId="77777777" w:rsidR="00642032" w:rsidRDefault="00642032" w:rsidP="00642032">
                  <w:pPr>
                    <w:pStyle w:val="Default"/>
                    <w:rPr>
                      <w:sz w:val="16"/>
                      <w:szCs w:val="16"/>
                    </w:rPr>
                  </w:pPr>
                </w:p>
                <w:p w14:paraId="01ED353A" w14:textId="2A41133F" w:rsidR="00642032" w:rsidRPr="00642032" w:rsidRDefault="00642032" w:rsidP="00642032">
                  <w:pPr>
                    <w:pStyle w:val="Default"/>
                    <w:rPr>
                      <w:sz w:val="16"/>
                      <w:szCs w:val="16"/>
                    </w:rPr>
                  </w:pPr>
                  <w:r w:rsidRPr="00642032">
                    <w:rPr>
                      <w:sz w:val="16"/>
                      <w:szCs w:val="16"/>
                    </w:rPr>
                    <w:t>Ak je hodnota pracovného miesta FTE nižšia ako  100 000 EUR a rovná alebo vyššia ako 50 000 Eur</w:t>
                  </w:r>
                </w:p>
                <w:p w14:paraId="712D5507" w14:textId="77777777" w:rsidR="00642032" w:rsidRDefault="00642032" w:rsidP="00642032">
                  <w:pPr>
                    <w:pStyle w:val="Default"/>
                    <w:rPr>
                      <w:sz w:val="16"/>
                      <w:szCs w:val="16"/>
                    </w:rPr>
                  </w:pPr>
                </w:p>
                <w:p w14:paraId="403A1A0A" w14:textId="77777777" w:rsidR="00642032" w:rsidRDefault="00642032" w:rsidP="00642032">
                  <w:pPr>
                    <w:pStyle w:val="Default"/>
                    <w:rPr>
                      <w:sz w:val="16"/>
                      <w:szCs w:val="16"/>
                    </w:rPr>
                  </w:pPr>
                </w:p>
                <w:p w14:paraId="1F466174" w14:textId="7323D1F2" w:rsidR="00CD5AD8" w:rsidRPr="0014423A" w:rsidRDefault="00642032" w:rsidP="00642032">
                  <w:pPr>
                    <w:pStyle w:val="Default"/>
                    <w:rPr>
                      <w:sz w:val="16"/>
                      <w:szCs w:val="16"/>
                    </w:rPr>
                  </w:pPr>
                  <w:r w:rsidRPr="00642032">
                    <w:rPr>
                      <w:sz w:val="16"/>
                      <w:szCs w:val="16"/>
                    </w:rPr>
                    <w:t>Ak je hodnota pracovného miesta FTE nižšia ako 50 000 EUR</w:t>
                  </w:r>
                </w:p>
              </w:tc>
            </w:tr>
          </w:tbl>
          <w:p w14:paraId="64EE0A34" w14:textId="1B0A53B2" w:rsidR="00CD5AD8" w:rsidRDefault="00CD5AD8" w:rsidP="00CD453C">
            <w:pPr>
              <w:pStyle w:val="Odsekzoznamu"/>
              <w:spacing w:after="120" w:line="240" w:lineRule="auto"/>
              <w:ind w:left="85" w:right="85"/>
              <w:contextualSpacing w:val="0"/>
              <w:jc w:val="both"/>
              <w:rPr>
                <w:rFonts w:ascii="Arial" w:hAnsi="Arial" w:cs="Arial"/>
                <w:b/>
                <w:szCs w:val="24"/>
              </w:rPr>
            </w:pPr>
          </w:p>
          <w:p w14:paraId="76399D9E" w14:textId="77777777" w:rsidR="00CD5AD8" w:rsidRPr="00493EDA" w:rsidRDefault="00CD5AD8" w:rsidP="00CD453C">
            <w:pPr>
              <w:pStyle w:val="Odsekzoznamu"/>
              <w:spacing w:after="120" w:line="240" w:lineRule="auto"/>
              <w:ind w:left="85" w:right="85"/>
              <w:contextualSpacing w:val="0"/>
              <w:jc w:val="both"/>
              <w:rPr>
                <w:rFonts w:ascii="Arial" w:hAnsi="Arial" w:cs="Arial"/>
                <w:b/>
                <w:szCs w:val="24"/>
              </w:rPr>
            </w:pP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4"/>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pomoci de minimis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V prípade, že prijímateľovi bola v priebehu obdobia troch fiškálnych rokov poskytnutá minimálna pomoc, podľa nariadenia Komisie (EÚ) č. 360/2012 z 25. apríla 2012 o uplatňovaní článkov 107 a 108 Zmluvy o fungovaní Európskej únie na pomoc de minimis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Výška príspevku musí rešpektovať maximálnu výšku príspevku stanovenú MAS ako aj pravidlá kumulácie pomoci de minimis.</w:t>
            </w:r>
          </w:p>
          <w:p w14:paraId="4D57D342" w14:textId="0F0B77CF" w:rsidR="00997F82" w:rsidRDefault="00997F82" w:rsidP="00A93302">
            <w:pPr>
              <w:spacing w:before="120" w:after="120" w:line="240" w:lineRule="auto"/>
              <w:ind w:left="85" w:right="85"/>
              <w:jc w:val="both"/>
              <w:rPr>
                <w:rFonts w:ascii="Arial" w:hAnsi="Arial" w:cs="Arial"/>
                <w:b/>
                <w:bCs/>
                <w:sz w:val="20"/>
                <w:szCs w:val="20"/>
              </w:rPr>
            </w:pPr>
            <w:r w:rsidRPr="0095661C">
              <w:rPr>
                <w:rFonts w:ascii="Arial" w:hAnsi="Arial" w:cs="Arial"/>
                <w:b/>
                <w:bCs/>
                <w:sz w:val="20"/>
                <w:szCs w:val="20"/>
              </w:rPr>
              <w:t xml:space="preserve">V prípade, ak by podľa pravidiel kumulácie hrozilo prekročenie stropu kumulácie podľa vyššie uvedených bodov, nesmie byť výška príspevku poskytnutá žiadateľovi vyššia ako je vypočítaná zostávajúca hodnota do stropu kumulácie pomoci. Táto však zároveň nesmie byť vyššia ako </w:t>
            </w:r>
            <w:r w:rsidR="00A064B8">
              <w:rPr>
                <w:rFonts w:ascii="Arial" w:hAnsi="Arial" w:cs="Arial"/>
                <w:b/>
                <w:bCs/>
                <w:sz w:val="20"/>
                <w:szCs w:val="20"/>
              </w:rPr>
              <w:t>80</w:t>
            </w:r>
            <w:r w:rsidR="00C71335">
              <w:rPr>
                <w:rFonts w:ascii="Arial" w:hAnsi="Arial" w:cs="Arial"/>
                <w:b/>
                <w:bCs/>
                <w:sz w:val="20"/>
                <w:szCs w:val="20"/>
              </w:rPr>
              <w:t xml:space="preserve"> 00</w:t>
            </w:r>
            <w:r w:rsidR="005C1AA6">
              <w:rPr>
                <w:rFonts w:ascii="Arial" w:hAnsi="Arial" w:cs="Arial"/>
                <w:b/>
                <w:bCs/>
                <w:sz w:val="20"/>
                <w:szCs w:val="20"/>
              </w:rPr>
              <w:t>0</w:t>
            </w:r>
            <w:r w:rsidR="00C71335">
              <w:rPr>
                <w:rFonts w:ascii="Arial" w:hAnsi="Arial" w:cs="Arial"/>
                <w:b/>
                <w:bCs/>
                <w:sz w:val="20"/>
                <w:szCs w:val="20"/>
              </w:rPr>
              <w:t xml:space="preserve">,00 </w:t>
            </w:r>
            <w:r w:rsidRPr="0095661C">
              <w:rPr>
                <w:rFonts w:ascii="Arial" w:hAnsi="Arial" w:cs="Arial"/>
                <w:b/>
                <w:bCs/>
                <w:sz w:val="20"/>
                <w:szCs w:val="20"/>
              </w:rPr>
              <w:t>EUR.</w:t>
            </w: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4DA82FD6" w:rsidR="00997F82" w:rsidRPr="00493EDA" w:rsidRDefault="00A93302" w:rsidP="00CD453C">
            <w:pPr>
              <w:pStyle w:val="Odsekzoznamu"/>
              <w:numPr>
                <w:ilvl w:val="0"/>
                <w:numId w:val="59"/>
              </w:numPr>
              <w:spacing w:after="0" w:line="240" w:lineRule="auto"/>
              <w:ind w:left="709" w:right="85" w:hanging="357"/>
              <w:contextualSpacing w:val="0"/>
              <w:jc w:val="both"/>
              <w:rPr>
                <w:rFonts w:ascii="Arial" w:hAnsi="Arial" w:cs="Arial"/>
                <w:b/>
                <w:color w:val="FF0000"/>
                <w:sz w:val="20"/>
                <w:szCs w:val="20"/>
              </w:rPr>
            </w:pPr>
            <w:r w:rsidRPr="00493EDA">
              <w:rPr>
                <w:rFonts w:ascii="Arial" w:hAnsi="Arial" w:cs="Arial"/>
                <w:b/>
                <w:color w:val="FF0000"/>
                <w:sz w:val="20"/>
                <w:szCs w:val="20"/>
              </w:rPr>
              <w:t xml:space="preserve">6) </w:t>
            </w:r>
            <w:r w:rsidR="00997F82" w:rsidRPr="00493EDA">
              <w:rPr>
                <w:rFonts w:ascii="Arial" w:hAnsi="Arial" w:cs="Arial"/>
                <w:b/>
                <w:color w:val="FF0000"/>
                <w:sz w:val="20"/>
                <w:szCs w:val="20"/>
              </w:rPr>
              <w:t>Rozpočet projektu,</w:t>
            </w:r>
          </w:p>
          <w:p w14:paraId="6B88B074" w14:textId="77777777" w:rsidR="00997F82" w:rsidRPr="00493EDA" w:rsidRDefault="00A93302" w:rsidP="00A93302">
            <w:pPr>
              <w:pStyle w:val="Odsekzoznamu"/>
              <w:numPr>
                <w:ilvl w:val="0"/>
                <w:numId w:val="59"/>
              </w:numPr>
              <w:spacing w:after="0" w:line="240" w:lineRule="auto"/>
              <w:ind w:left="709" w:right="85" w:hanging="357"/>
              <w:contextualSpacing w:val="0"/>
              <w:jc w:val="both"/>
              <w:rPr>
                <w:rFonts w:ascii="Arial" w:hAnsi="Arial" w:cs="Arial"/>
                <w:b/>
                <w:color w:val="FF0000"/>
                <w:sz w:val="20"/>
                <w:szCs w:val="20"/>
              </w:rPr>
            </w:pPr>
            <w:r w:rsidRPr="00493EDA">
              <w:rPr>
                <w:rFonts w:ascii="Arial" w:hAnsi="Arial" w:cs="Arial"/>
                <w:b/>
                <w:color w:val="FF0000"/>
                <w:sz w:val="20"/>
                <w:szCs w:val="20"/>
              </w:rPr>
              <w:t xml:space="preserve">12) </w:t>
            </w:r>
            <w:r w:rsidR="00997F82" w:rsidRPr="00493EDA">
              <w:rPr>
                <w:rFonts w:ascii="Arial" w:hAnsi="Arial" w:cs="Arial"/>
                <w:b/>
                <w:color w:val="FF0000"/>
                <w:sz w:val="20"/>
                <w:szCs w:val="20"/>
              </w:rPr>
              <w:t>Prehľad minimálnej pomoci,</w:t>
            </w:r>
          </w:p>
          <w:p w14:paraId="66D9249B" w14:textId="1CD3EB3A" w:rsidR="00493EDA" w:rsidRPr="00493EDA" w:rsidRDefault="00642032" w:rsidP="00493EDA">
            <w:pPr>
              <w:spacing w:after="0" w:line="240" w:lineRule="auto"/>
              <w:ind w:right="85"/>
              <w:jc w:val="both"/>
              <w:rPr>
                <w:rFonts w:ascii="Arial" w:hAnsi="Arial" w:cs="Arial"/>
                <w:bCs/>
                <w:color w:val="FF0000"/>
                <w:sz w:val="20"/>
                <w:szCs w:val="20"/>
              </w:rPr>
            </w:pPr>
            <w:r>
              <w:rPr>
                <w:rFonts w:ascii="Arial" w:hAnsi="Arial" w:cs="Arial"/>
                <w:bCs/>
                <w:sz w:val="20"/>
                <w:szCs w:val="20"/>
              </w:rPr>
              <w:t xml:space="preserve"> </w:t>
            </w:r>
          </w:p>
        </w:tc>
      </w:tr>
      <w:tr w:rsidR="00997F82" w:rsidRPr="00507076" w14:paraId="67FE59A4" w14:textId="77777777" w:rsidTr="00F10680">
        <w:tblPrEx>
          <w:shd w:val="clear" w:color="auto" w:fill="auto"/>
          <w:tblCellMar>
            <w:left w:w="57" w:type="dxa"/>
            <w:right w:w="57" w:type="dxa"/>
          </w:tblCellMar>
        </w:tblPrEx>
        <w:trPr>
          <w:trHeight w:val="287"/>
        </w:trPr>
        <w:tc>
          <w:tcPr>
            <w:tcW w:w="10351"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F10680">
        <w:tblPrEx>
          <w:shd w:val="clear" w:color="auto" w:fill="auto"/>
          <w:tblCellMar>
            <w:left w:w="57" w:type="dxa"/>
            <w:right w:w="57" w:type="dxa"/>
          </w:tblCellMar>
        </w:tblPrEx>
        <w:tc>
          <w:tcPr>
            <w:tcW w:w="10351"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005C61CA" w14:textId="058E1AFD" w:rsidR="00997F82" w:rsidRPr="00A93302" w:rsidRDefault="00997F82" w:rsidP="00A93302">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6B24C603" w14:textId="77777777" w:rsidR="00CC2188" w:rsidRPr="00567DE3" w:rsidRDefault="00CC2188" w:rsidP="00CC2188">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7CCD5B85" w14:textId="77777777" w:rsidR="00CC2188" w:rsidRPr="003F3414" w:rsidRDefault="00CC2188" w:rsidP="00CC2188">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6D3CF606" w14:textId="77777777" w:rsidR="00CC2188" w:rsidRPr="003F3414" w:rsidRDefault="00CC2188" w:rsidP="00CC2188">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56B735FF" w14:textId="77777777" w:rsidR="00CC2188" w:rsidRPr="003F3414" w:rsidRDefault="00CC2188" w:rsidP="00CC2188">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4D9F4E2E" w14:textId="77777777" w:rsidR="00CC2188" w:rsidRPr="003F3414" w:rsidRDefault="00CC2188" w:rsidP="00CC2188">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73870CAE" w14:textId="77777777" w:rsidR="00CC2188" w:rsidRPr="003F3414" w:rsidRDefault="00CC2188" w:rsidP="00CC2188">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1EFE647A" w14:textId="77777777" w:rsidR="00CC2188" w:rsidRPr="004D4857" w:rsidRDefault="00CC2188" w:rsidP="00CC2188">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20615A23" w14:textId="77777777" w:rsidR="00CC2188" w:rsidRPr="00CC2188" w:rsidRDefault="00CC2188" w:rsidP="00CC2188">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CC2188">
        <w:rPr>
          <w:rFonts w:ascii="Arial" w:eastAsiaTheme="minorHAnsi" w:hAnsi="Arial" w:cs="Arial"/>
          <w:color w:val="000000"/>
          <w:sz w:val="20"/>
          <w:szCs w:val="20"/>
          <w:lang w:eastAsia="en-US"/>
        </w:rPr>
        <w:t>Žiadateľ vyplní formulár ŽoPr v súlade s inštrukciami uvedenými v tejto výzve ako aj priamo vo formulári ŽoPr.</w:t>
      </w:r>
    </w:p>
    <w:p w14:paraId="51CBC4EF" w14:textId="77777777" w:rsidR="00CC2188" w:rsidRPr="00CC2188" w:rsidRDefault="00CC2188" w:rsidP="00CC2188">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CC2188">
        <w:rPr>
          <w:rFonts w:ascii="Arial" w:eastAsiaTheme="minorHAnsi" w:hAnsi="Arial" w:cs="Arial"/>
          <w:color w:val="000000"/>
          <w:sz w:val="20"/>
          <w:szCs w:val="20"/>
          <w:lang w:eastAsia="en-US"/>
        </w:rPr>
        <w:t>Po úplnom vyplnení formulára ho vytlačí a podpíše (štatutárny orgán, resp. ním splnomocnená osoba). K formuláru ŽoPr doplní listinné formy príloh ŽoPr (prílohy sa predkladajú ako obyčajné kópie originálov, pričom žiadateľ uchováva originály u seba pre účely prípadných kontrol) a uloží elektronické verzie formulára ŽoPr a príloh na elektronické neprepisovateľné médium (CD/DVD). Elektronické verzie predstavujú skeny originálnych dokumentov vo formáte pdf. ak nie je v kapitole 3 pri niektorej z príloh uvedené inak.</w:t>
      </w:r>
    </w:p>
    <w:p w14:paraId="114EE4F6" w14:textId="77777777" w:rsidR="00CC2188" w:rsidRPr="00CC2188" w:rsidRDefault="00CC2188" w:rsidP="00CC2188">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CC2188">
        <w:rPr>
          <w:rFonts w:ascii="Arial" w:eastAsiaTheme="minorHAnsi" w:hAnsi="Arial" w:cs="Arial"/>
          <w:color w:val="000000"/>
          <w:sz w:val="20"/>
          <w:szCs w:val="20"/>
          <w:lang w:eastAsia="en-US"/>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1AB26692" w14:textId="77777777" w:rsidR="00CC2188" w:rsidRPr="00CC2188" w:rsidRDefault="00CC2188" w:rsidP="00CC2188">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CC2188">
        <w:rPr>
          <w:rFonts w:ascii="Arial" w:eastAsiaTheme="minorHAnsi" w:hAnsi="Arial" w:cs="Arial"/>
          <w:color w:val="000000"/>
          <w:sz w:val="20"/>
          <w:szCs w:val="20"/>
          <w:lang w:eastAsia="en-US"/>
        </w:rPr>
        <w:t>Obal, v ktorom je doručovaná ŽoPr je potrebné označiť nasledovnými údajmi:</w:t>
      </w:r>
    </w:p>
    <w:p w14:paraId="4915A12A" w14:textId="77777777" w:rsidR="00CC2188" w:rsidRPr="00CC2188" w:rsidRDefault="00CC2188" w:rsidP="00CC2188">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CC2188">
        <w:rPr>
          <w:rFonts w:ascii="Arial" w:eastAsiaTheme="minorHAnsi" w:hAnsi="Arial" w:cs="Arial"/>
          <w:color w:val="000000"/>
          <w:sz w:val="20"/>
          <w:szCs w:val="20"/>
          <w:lang w:eastAsia="en-US"/>
        </w:rPr>
        <w:t>názov a adresa žiadateľa;</w:t>
      </w:r>
    </w:p>
    <w:p w14:paraId="5DD4B5F4" w14:textId="77777777" w:rsidR="00CC2188" w:rsidRPr="00CC2188" w:rsidRDefault="00CC2188" w:rsidP="00CC2188">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CC2188">
        <w:rPr>
          <w:rFonts w:ascii="Arial" w:eastAsiaTheme="minorHAnsi" w:hAnsi="Arial" w:cs="Arial"/>
          <w:color w:val="000000"/>
          <w:sz w:val="20"/>
          <w:szCs w:val="20"/>
          <w:lang w:eastAsia="en-US"/>
        </w:rPr>
        <w:t>názov a adresa MAS;</w:t>
      </w:r>
    </w:p>
    <w:p w14:paraId="4455287C" w14:textId="77777777" w:rsidR="00CC2188" w:rsidRPr="00CC2188" w:rsidRDefault="00CC2188" w:rsidP="00CC2188">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CC2188">
        <w:rPr>
          <w:rFonts w:ascii="Arial" w:eastAsiaTheme="minorHAnsi" w:hAnsi="Arial" w:cs="Arial"/>
          <w:color w:val="000000"/>
          <w:sz w:val="20"/>
          <w:szCs w:val="20"/>
          <w:lang w:eastAsia="en-US"/>
        </w:rPr>
        <w:t>názov a kód výzvy;</w:t>
      </w:r>
    </w:p>
    <w:p w14:paraId="11FEE488" w14:textId="77777777" w:rsidR="00CC2188" w:rsidRPr="00CC2188" w:rsidRDefault="00CC2188" w:rsidP="00CC2188">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CC2188">
        <w:rPr>
          <w:rFonts w:ascii="Arial" w:eastAsiaTheme="minorHAnsi" w:hAnsi="Arial" w:cs="Arial"/>
          <w:color w:val="000000"/>
          <w:sz w:val="20"/>
          <w:szCs w:val="20"/>
          <w:lang w:eastAsia="en-US"/>
        </w:rPr>
        <w:t>názov projektu;</w:t>
      </w:r>
    </w:p>
    <w:p w14:paraId="7A91F3D1" w14:textId="77777777" w:rsidR="00CC2188" w:rsidRPr="00CC2188" w:rsidRDefault="00CC2188" w:rsidP="00CC2188">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CC2188">
        <w:rPr>
          <w:rFonts w:ascii="Arial" w:eastAsiaTheme="minorHAnsi" w:hAnsi="Arial" w:cs="Arial"/>
          <w:color w:val="000000"/>
          <w:sz w:val="20"/>
          <w:szCs w:val="20"/>
          <w:lang w:eastAsia="en-US"/>
        </w:rPr>
        <w:t>nápis „ŽIADOSŤ O POSKYTNUTIE PRÍSPEVKU“;</w:t>
      </w:r>
    </w:p>
    <w:p w14:paraId="4C43A4E4" w14:textId="77777777" w:rsidR="00CC2188" w:rsidRPr="00CC2188" w:rsidRDefault="00CC2188" w:rsidP="00CC2188">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CC2188">
        <w:rPr>
          <w:rFonts w:ascii="Arial" w:eastAsiaTheme="minorHAnsi" w:hAnsi="Arial" w:cs="Arial"/>
          <w:color w:val="000000"/>
          <w:sz w:val="20"/>
          <w:szCs w:val="20"/>
          <w:lang w:eastAsia="en-US"/>
        </w:rPr>
        <w:t>nápis „NEOTVÁRAŤ“.</w:t>
      </w:r>
    </w:p>
    <w:p w14:paraId="5A19A45B" w14:textId="77777777" w:rsidR="00CC2188" w:rsidRPr="00CC2188" w:rsidRDefault="00CC2188" w:rsidP="00CC2188">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CC2188">
        <w:rPr>
          <w:rFonts w:ascii="Arial" w:eastAsiaTheme="minorHAnsi" w:hAnsi="Arial" w:cs="Arial"/>
          <w:color w:val="000000"/>
          <w:sz w:val="20"/>
          <w:szCs w:val="20"/>
          <w:lang w:eastAsia="en-US"/>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 prípade príloh, ktoré sú originálne vyhotovené v českom jazyku.</w:t>
      </w:r>
    </w:p>
    <w:p w14:paraId="24C3159F" w14:textId="77777777" w:rsidR="00CC2188" w:rsidRPr="004D4857" w:rsidRDefault="00CC2188" w:rsidP="00CC2188">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6B213114" w14:textId="77777777" w:rsidR="00CC2188" w:rsidRPr="003F3414" w:rsidRDefault="00CC2188" w:rsidP="00CC2188">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 xml:space="preserve">v zmysle predchádzajúcej kapitoly </w:t>
      </w:r>
      <w:r w:rsidRPr="003F3414">
        <w:rPr>
          <w:rFonts w:ascii="Arial" w:hAnsi="Arial" w:cs="Arial"/>
          <w:b/>
          <w:bCs/>
          <w:color w:val="000000"/>
          <w:sz w:val="20"/>
          <w:szCs w:val="20"/>
        </w:rPr>
        <w:t xml:space="preserve">na adresu: </w:t>
      </w:r>
    </w:p>
    <w:p w14:paraId="7364AE92" w14:textId="77777777" w:rsidR="00CC2188" w:rsidRDefault="00CC2188" w:rsidP="00CC2188">
      <w:pPr>
        <w:tabs>
          <w:tab w:val="left" w:pos="426"/>
        </w:tabs>
        <w:spacing w:before="120" w:after="120" w:line="240" w:lineRule="auto"/>
        <w:jc w:val="both"/>
        <w:rPr>
          <w:rFonts w:ascii="Arial" w:hAnsi="Arial" w:cs="Arial"/>
          <w:sz w:val="20"/>
          <w:szCs w:val="20"/>
        </w:rPr>
      </w:pPr>
      <w:r>
        <w:rPr>
          <w:rFonts w:ascii="Arial" w:hAnsi="Arial" w:cs="Arial"/>
          <w:sz w:val="20"/>
          <w:szCs w:val="20"/>
        </w:rPr>
        <w:t>Miestna akčná skupina Hnilec, o.z., Prešovská 9, 055 01 Margecany</w:t>
      </w:r>
    </w:p>
    <w:p w14:paraId="7889FCDD" w14:textId="77777777" w:rsidR="00CC2188" w:rsidRPr="003F3414" w:rsidRDefault="00CC2188" w:rsidP="00CC2188">
      <w:pPr>
        <w:tabs>
          <w:tab w:val="left" w:pos="426"/>
        </w:tabs>
        <w:spacing w:before="120" w:after="120" w:line="240" w:lineRule="auto"/>
        <w:jc w:val="both"/>
        <w:rPr>
          <w:rFonts w:ascii="Arial" w:hAnsi="Arial" w:cs="Arial"/>
          <w:sz w:val="20"/>
          <w:szCs w:val="20"/>
        </w:rPr>
      </w:pPr>
    </w:p>
    <w:p w14:paraId="60B6A4CB" w14:textId="77777777" w:rsidR="00CC2188" w:rsidRPr="003F3414" w:rsidRDefault="00CC2188" w:rsidP="00CC2188">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59DCD8FC" w14:textId="77777777" w:rsidR="00CC2188" w:rsidRPr="003F3414" w:rsidRDefault="00CC2188" w:rsidP="00CC2188">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w:t>
      </w:r>
      <w:r>
        <w:rPr>
          <w:rFonts w:ascii="Arial" w:hAnsi="Arial" w:cs="Arial"/>
          <w:sz w:val="20"/>
          <w:szCs w:val="20"/>
        </w:rPr>
        <w:t xml:space="preserve"> v pracovných dňoch v čase</w:t>
      </w:r>
      <w:r w:rsidRPr="003F3414">
        <w:rPr>
          <w:rFonts w:ascii="Arial" w:hAnsi="Arial" w:cs="Arial"/>
          <w:sz w:val="20"/>
          <w:szCs w:val="20"/>
        </w:rPr>
        <w:t xml:space="preserve"> </w:t>
      </w:r>
      <w:r>
        <w:rPr>
          <w:rFonts w:ascii="Arial" w:hAnsi="Arial" w:cs="Arial"/>
          <w:sz w:val="20"/>
          <w:szCs w:val="20"/>
        </w:rPr>
        <w:t>od 8:00 do 14:00 hod</w:t>
      </w:r>
      <w:r w:rsidRPr="003F3414">
        <w:rPr>
          <w:rFonts w:ascii="Arial" w:hAnsi="Arial" w:cs="Arial"/>
          <w:sz w:val="20"/>
          <w:szCs w:val="20"/>
        </w:rPr>
        <w:t>,</w:t>
      </w:r>
    </w:p>
    <w:p w14:paraId="087D2234" w14:textId="77777777" w:rsidR="00CC2188" w:rsidRPr="003F3414" w:rsidRDefault="00CC2188" w:rsidP="00CC2188">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lastRenderedPageBreak/>
        <w:t>doporučenou poštovou prepravou,</w:t>
      </w:r>
    </w:p>
    <w:p w14:paraId="4395D286" w14:textId="77777777" w:rsidR="00CC2188" w:rsidRPr="003F3414" w:rsidRDefault="00CC2188" w:rsidP="00CC2188">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65BA29E8" w14:textId="77777777" w:rsidR="00CC2188" w:rsidRPr="003F3414" w:rsidRDefault="00CC2188" w:rsidP="00CC2188">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31E69135" w14:textId="77777777" w:rsidR="00CC2188" w:rsidRPr="003F3414" w:rsidRDefault="00CC2188" w:rsidP="00CC2188">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755D759E" w14:textId="77777777" w:rsidR="00CC2188" w:rsidRPr="003F3414" w:rsidRDefault="00CC2188" w:rsidP="00CC2188">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1D7626A9" w14:textId="77777777" w:rsidR="00CC2188" w:rsidRPr="003F3414" w:rsidRDefault="00CC2188" w:rsidP="00CC2188">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ŽoPr (podmienka nie je splnená najmä v prípadoch, kedy je obsah ŽoPr vyplnený v inom ako slovenskom </w:t>
      </w:r>
      <w:r>
        <w:rPr>
          <w:rFonts w:ascii="Arial" w:eastAsia="Calibri" w:hAnsi="Arial" w:cs="Arial"/>
          <w:sz w:val="20"/>
          <w:szCs w:val="20"/>
        </w:rPr>
        <w:t xml:space="preserve">alebo českom </w:t>
      </w:r>
      <w:r w:rsidRPr="003F3414">
        <w:rPr>
          <w:rFonts w:ascii="Arial" w:eastAsia="Calibri" w:hAnsi="Arial" w:cs="Arial"/>
          <w:sz w:val="20"/>
          <w:szCs w:val="20"/>
        </w:rPr>
        <w:t>jazyku alebo písmom, ktoré neumožňuje rozpoznanie obsahu textu a pod.).</w:t>
      </w:r>
    </w:p>
    <w:p w14:paraId="58B5E966" w14:textId="77777777" w:rsidR="00CC2188" w:rsidRPr="003F3414" w:rsidRDefault="00CC2188" w:rsidP="00CC2188">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55C7DD3F" w14:textId="77777777" w:rsidR="00CC2188" w:rsidRPr="003F3414" w:rsidRDefault="00CC2188" w:rsidP="00CC2188">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6F7FA901" w14:textId="77777777" w:rsidR="00CC2188" w:rsidRPr="003F3414" w:rsidRDefault="00CC2188" w:rsidP="00CC2188">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F837384" w14:textId="77777777" w:rsidR="00CC2188" w:rsidRPr="003F3414" w:rsidRDefault="00CC2188" w:rsidP="00CC2188">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0F35503" w14:textId="77777777" w:rsidR="00CC2188" w:rsidRPr="003F3414" w:rsidRDefault="00CC2188" w:rsidP="00CC2188">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5211278F" w14:textId="77777777" w:rsidR="00CC2188" w:rsidRDefault="00CC2188" w:rsidP="00CC2188">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5A2E1CBA" w14:textId="3610E2A3" w:rsidR="00402F5D" w:rsidRDefault="00402F5D" w:rsidP="00FF6C9B">
      <w:pPr>
        <w:spacing w:before="240" w:after="240" w:line="240" w:lineRule="auto"/>
        <w:jc w:val="both"/>
        <w:rPr>
          <w:rFonts w:ascii="Arial" w:hAnsi="Arial" w:cs="Arial"/>
          <w:sz w:val="20"/>
          <w:szCs w:val="20"/>
        </w:rPr>
      </w:pPr>
    </w:p>
    <w:p w14:paraId="40D3639A" w14:textId="77777777" w:rsidR="00402F5D" w:rsidRPr="003F3414" w:rsidRDefault="00402F5D" w:rsidP="00FF6C9B">
      <w:pPr>
        <w:spacing w:before="240" w:after="240" w:line="240" w:lineRule="auto"/>
        <w:jc w:val="both"/>
        <w:rPr>
          <w:rFonts w:ascii="Arial" w:hAnsi="Arial" w:cs="Arial"/>
          <w:sz w:val="20"/>
          <w:szCs w:val="20"/>
        </w:rPr>
      </w:pPr>
    </w:p>
    <w:sectPr w:rsidR="00402F5D" w:rsidRPr="003F3414" w:rsidSect="00016DEA">
      <w:headerReference w:type="even" r:id="rId12"/>
      <w:headerReference w:type="default" r:id="rId13"/>
      <w:footerReference w:type="even" r:id="rId14"/>
      <w:footerReference w:type="default" r:id="rId15"/>
      <w:headerReference w:type="first" r:id="rId16"/>
      <w:footerReference w:type="first" r:id="rId17"/>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A0444" w14:textId="77777777" w:rsidR="00C82EAA" w:rsidRDefault="00C82EAA" w:rsidP="00997F82">
      <w:pPr>
        <w:spacing w:after="0" w:line="240" w:lineRule="auto"/>
      </w:pPr>
      <w:r>
        <w:separator/>
      </w:r>
    </w:p>
  </w:endnote>
  <w:endnote w:type="continuationSeparator" w:id="0">
    <w:p w14:paraId="350DE266" w14:textId="77777777" w:rsidR="00C82EAA" w:rsidRDefault="00C82EAA"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A418" w14:textId="77777777" w:rsidR="00CC2188" w:rsidRDefault="00CC218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3F02BFE3" w:rsidR="00D835D8" w:rsidRPr="000B630C" w:rsidRDefault="00D835D8">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26</w:t>
        </w:r>
        <w:r w:rsidRPr="000B630C">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D835D8" w:rsidRDefault="00D835D8"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D835D8" w:rsidRDefault="00D835D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EEC4F" w14:textId="77777777" w:rsidR="00C82EAA" w:rsidRDefault="00C82EAA" w:rsidP="00997F82">
      <w:pPr>
        <w:spacing w:after="0" w:line="240" w:lineRule="auto"/>
      </w:pPr>
      <w:r>
        <w:separator/>
      </w:r>
    </w:p>
  </w:footnote>
  <w:footnote w:type="continuationSeparator" w:id="0">
    <w:p w14:paraId="2BFFC109" w14:textId="77777777" w:rsidR="00C82EAA" w:rsidRDefault="00C82EAA" w:rsidP="00997F82">
      <w:pPr>
        <w:spacing w:after="0" w:line="240" w:lineRule="auto"/>
      </w:pPr>
      <w:r>
        <w:continuationSeparator/>
      </w:r>
    </w:p>
  </w:footnote>
  <w:footnote w:id="1">
    <w:p w14:paraId="17D019C3" w14:textId="77777777" w:rsidR="00642032" w:rsidRPr="00FA7A1A" w:rsidRDefault="00642032" w:rsidP="00642032">
      <w:pPr>
        <w:pStyle w:val="Textpoznmkypodiarou"/>
        <w:ind w:left="284" w:hanging="284"/>
        <w:jc w:val="both"/>
        <w:rPr>
          <w:rFonts w:ascii="Arial" w:hAnsi="Arial" w:cs="Arial"/>
          <w:sz w:val="16"/>
          <w:szCs w:val="16"/>
        </w:rPr>
      </w:pPr>
      <w:r w:rsidRPr="00F422EE">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52FA2EC8" w14:textId="77777777" w:rsidR="00642032" w:rsidRDefault="00642032" w:rsidP="00642032">
      <w:pPr>
        <w:pStyle w:val="Textpoznmkypodiarou"/>
      </w:pPr>
      <w:r>
        <w:rPr>
          <w:rStyle w:val="Odkaznapoznmkupodiarou"/>
        </w:rPr>
        <w:footnoteRef/>
      </w:r>
      <w:r>
        <w:t xml:space="preserve"> Automobily patriace do kategórie vozidiel M1, bližšie identifikované v rámci prílohy č. 1 Nariadenia </w:t>
      </w:r>
      <w:r w:rsidRPr="002A2A2D">
        <w:t>Európskeho parlamentu a Rady (EÚ) 2018/858 z</w:t>
      </w:r>
      <w:r>
        <w:t>o dňa</w:t>
      </w:r>
      <w:r w:rsidRPr="002A2A2D">
        <w:t xml:space="preserve"> 30.</w:t>
      </w:r>
      <w:r>
        <w:t>05.</w:t>
      </w:r>
      <w:r w:rsidRPr="00213B94">
        <w:t>2018 (</w:t>
      </w:r>
      <w:r w:rsidRPr="00E66969">
        <w:rPr>
          <w:rFonts w:cstheme="minorHAnsi"/>
          <w:bCs/>
          <w:szCs w:val="19"/>
        </w:rPr>
        <w:t>sedany, kabriolety, kombi ...), sú v rámci predmetnej aktivity A1  neoprávnené typy vozidiel</w:t>
      </w:r>
    </w:p>
  </w:footnote>
  <w:footnote w:id="3">
    <w:p w14:paraId="2D71C0E7" w14:textId="7675BE7E" w:rsidR="00D835D8" w:rsidRPr="00B33449" w:rsidRDefault="00D835D8"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4">
    <w:p w14:paraId="0002355D" w14:textId="5D5EFE9D" w:rsidR="00D835D8" w:rsidRPr="008D12FA" w:rsidRDefault="00D835D8" w:rsidP="00997F82">
      <w:pPr>
        <w:pStyle w:val="Textpoznmkypodiarou"/>
        <w:ind w:left="284" w:right="-286"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D835D8" w:rsidRPr="008D12FA" w:rsidRDefault="00D835D8"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D835D8" w:rsidRPr="008D12FA" w:rsidRDefault="00D835D8"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D835D8" w:rsidRPr="008D12FA" w:rsidRDefault="00D835D8"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D835D8" w:rsidRDefault="00D835D8" w:rsidP="00997F82">
      <w:pPr>
        <w:pStyle w:val="Textpoznmkypodiarou"/>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E1943" w14:textId="77777777" w:rsidR="00CC2188" w:rsidRDefault="00CC218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D643" w14:textId="77777777" w:rsidR="00CC2188" w:rsidRDefault="00CC2188">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4695268A" w:rsidR="00D835D8" w:rsidRPr="001F013A" w:rsidRDefault="00CC2188" w:rsidP="00DD3EE2">
    <w:pPr>
      <w:pStyle w:val="Hlavika"/>
      <w:rPr>
        <w:rFonts w:ascii="Arial Narrow" w:hAnsi="Arial Narrow"/>
        <w:sz w:val="20"/>
      </w:rPr>
    </w:pPr>
    <w:r>
      <w:rPr>
        <w:rFonts w:ascii="Arial Narrow" w:hAnsi="Arial Narrow"/>
        <w:noProof/>
        <w:sz w:val="20"/>
      </w:rPr>
      <w:drawing>
        <wp:anchor distT="0" distB="0" distL="114300" distR="114300" simplePos="0" relativeHeight="251666432" behindDoc="0" locked="0" layoutInCell="1" allowOverlap="1" wp14:anchorId="6BF38D7C" wp14:editId="62F46987">
          <wp:simplePos x="0" y="0"/>
          <wp:positionH relativeFrom="margin">
            <wp:align>center</wp:align>
          </wp:positionH>
          <wp:positionV relativeFrom="paragraph">
            <wp:posOffset>-31115</wp:posOffset>
          </wp:positionV>
          <wp:extent cx="1333500" cy="30607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1">
                    <a:extLst>
                      <a:ext uri="{28A0092B-C50C-407E-A947-70E740481C1C}">
                        <a14:useLocalDpi xmlns:a14="http://schemas.microsoft.com/office/drawing/2010/main" val="0"/>
                      </a:ext>
                    </a:extLst>
                  </a:blip>
                  <a:stretch>
                    <a:fillRect/>
                  </a:stretch>
                </pic:blipFill>
                <pic:spPr>
                  <a:xfrm>
                    <a:off x="0" y="0"/>
                    <a:ext cx="1333500" cy="306070"/>
                  </a:xfrm>
                  <a:prstGeom prst="rect">
                    <a:avLst/>
                  </a:prstGeom>
                </pic:spPr>
              </pic:pic>
            </a:graphicData>
          </a:graphic>
          <wp14:sizeRelH relativeFrom="page">
            <wp14:pctWidth>0</wp14:pctWidth>
          </wp14:sizeRelH>
          <wp14:sizeRelV relativeFrom="page">
            <wp14:pctHeight>0</wp14:pctHeight>
          </wp14:sizeRelV>
        </wp:anchor>
      </w:drawing>
    </w:r>
    <w:r w:rsidR="00D835D8">
      <w:rPr>
        <w:b/>
        <w:noProof/>
      </w:rPr>
      <w:drawing>
        <wp:anchor distT="0" distB="0" distL="114300" distR="114300" simplePos="0" relativeHeight="251665408" behindDoc="0" locked="0" layoutInCell="1" allowOverlap="1" wp14:anchorId="04AD2512" wp14:editId="08E3CC2B">
          <wp:simplePos x="0" y="0"/>
          <wp:positionH relativeFrom="margin">
            <wp:posOffset>92710</wp:posOffset>
          </wp:positionH>
          <wp:positionV relativeFrom="paragraph">
            <wp:posOffset>-94615</wp:posOffset>
          </wp:positionV>
          <wp:extent cx="457200" cy="446405"/>
          <wp:effectExtent l="0" t="0" r="0" b="0"/>
          <wp:wrapSquare wrapText="right"/>
          <wp:docPr id="9" name="Obrázok 9" descr="logo_MAS_oprav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logo_MAS_oprave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57200"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D835D8" w:rsidRPr="004C2F1F">
      <w:rPr>
        <w:rFonts w:ascii="Arial Narrow" w:hAnsi="Arial Narrow"/>
        <w:noProof/>
        <w:sz w:val="20"/>
      </w:rPr>
      <w:drawing>
        <wp:anchor distT="0" distB="0" distL="114300" distR="114300" simplePos="0" relativeHeight="251660288" behindDoc="1" locked="0" layoutInCell="1" allowOverlap="1" wp14:anchorId="4A2897DF" wp14:editId="59AA19C3">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D835D8" w:rsidRPr="004C2F1F">
      <w:rPr>
        <w:rFonts w:ascii="Arial Narrow" w:hAnsi="Arial Narrow"/>
        <w:noProof/>
        <w:sz w:val="20"/>
      </w:rPr>
      <w:drawing>
        <wp:anchor distT="0" distB="0" distL="114300" distR="114300" simplePos="0" relativeHeight="251662336" behindDoc="1" locked="0" layoutInCell="1" allowOverlap="1" wp14:anchorId="4AAE4C0E" wp14:editId="0FAB7985">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D835D8" w:rsidRDefault="00D835D8" w:rsidP="00DD3EE2">
    <w:pPr>
      <w:pStyle w:val="Hlavika"/>
    </w:pPr>
  </w:p>
  <w:p w14:paraId="25C2BAF4" w14:textId="77777777" w:rsidR="00D835D8" w:rsidRPr="00FC401E" w:rsidRDefault="00D835D8"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6522EA"/>
    <w:multiLevelType w:val="hybridMultilevel"/>
    <w:tmpl w:val="F85A3356"/>
    <w:lvl w:ilvl="0" w:tplc="06FE9732">
      <w:start w:val="1"/>
      <w:numFmt w:val="decimal"/>
      <w:lvlText w:val="%1)"/>
      <w:lvlJc w:val="left"/>
      <w:pPr>
        <w:ind w:left="445" w:hanging="360"/>
      </w:pPr>
      <w:rPr>
        <w:rFonts w:hint="default"/>
      </w:rPr>
    </w:lvl>
    <w:lvl w:ilvl="1" w:tplc="041B0019" w:tentative="1">
      <w:start w:val="1"/>
      <w:numFmt w:val="lowerLetter"/>
      <w:lvlText w:val="%2."/>
      <w:lvlJc w:val="left"/>
      <w:pPr>
        <w:ind w:left="1165" w:hanging="360"/>
      </w:pPr>
    </w:lvl>
    <w:lvl w:ilvl="2" w:tplc="041B001B" w:tentative="1">
      <w:start w:val="1"/>
      <w:numFmt w:val="lowerRoman"/>
      <w:lvlText w:val="%3."/>
      <w:lvlJc w:val="right"/>
      <w:pPr>
        <w:ind w:left="1885" w:hanging="180"/>
      </w:pPr>
    </w:lvl>
    <w:lvl w:ilvl="3" w:tplc="041B000F" w:tentative="1">
      <w:start w:val="1"/>
      <w:numFmt w:val="decimal"/>
      <w:lvlText w:val="%4."/>
      <w:lvlJc w:val="left"/>
      <w:pPr>
        <w:ind w:left="2605" w:hanging="360"/>
      </w:pPr>
    </w:lvl>
    <w:lvl w:ilvl="4" w:tplc="041B0019" w:tentative="1">
      <w:start w:val="1"/>
      <w:numFmt w:val="lowerLetter"/>
      <w:lvlText w:val="%5."/>
      <w:lvlJc w:val="left"/>
      <w:pPr>
        <w:ind w:left="3325" w:hanging="360"/>
      </w:pPr>
    </w:lvl>
    <w:lvl w:ilvl="5" w:tplc="041B001B" w:tentative="1">
      <w:start w:val="1"/>
      <w:numFmt w:val="lowerRoman"/>
      <w:lvlText w:val="%6."/>
      <w:lvlJc w:val="right"/>
      <w:pPr>
        <w:ind w:left="4045" w:hanging="180"/>
      </w:pPr>
    </w:lvl>
    <w:lvl w:ilvl="6" w:tplc="041B000F" w:tentative="1">
      <w:start w:val="1"/>
      <w:numFmt w:val="decimal"/>
      <w:lvlText w:val="%7."/>
      <w:lvlJc w:val="left"/>
      <w:pPr>
        <w:ind w:left="4765" w:hanging="360"/>
      </w:pPr>
    </w:lvl>
    <w:lvl w:ilvl="7" w:tplc="041B0019" w:tentative="1">
      <w:start w:val="1"/>
      <w:numFmt w:val="lowerLetter"/>
      <w:lvlText w:val="%8."/>
      <w:lvlJc w:val="left"/>
      <w:pPr>
        <w:ind w:left="5485" w:hanging="360"/>
      </w:pPr>
    </w:lvl>
    <w:lvl w:ilvl="8" w:tplc="041B001B" w:tentative="1">
      <w:start w:val="1"/>
      <w:numFmt w:val="lowerRoman"/>
      <w:lvlText w:val="%9."/>
      <w:lvlJc w:val="right"/>
      <w:pPr>
        <w:ind w:left="6205" w:hanging="180"/>
      </w:pPr>
    </w:lvl>
  </w:abstractNum>
  <w:abstractNum w:abstractNumId="11"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2"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1A4B59"/>
    <w:multiLevelType w:val="hybridMultilevel"/>
    <w:tmpl w:val="85745C50"/>
    <w:lvl w:ilvl="0" w:tplc="041B000F">
      <w:start w:val="1"/>
      <w:numFmt w:val="decimal"/>
      <w:lvlText w:val="%1."/>
      <w:lvlJc w:val="left"/>
      <w:pPr>
        <w:ind w:left="1178" w:hanging="360"/>
      </w:pPr>
    </w:lvl>
    <w:lvl w:ilvl="1" w:tplc="041B0019" w:tentative="1">
      <w:start w:val="1"/>
      <w:numFmt w:val="lowerLetter"/>
      <w:lvlText w:val="%2."/>
      <w:lvlJc w:val="left"/>
      <w:pPr>
        <w:ind w:left="1898" w:hanging="360"/>
      </w:pPr>
    </w:lvl>
    <w:lvl w:ilvl="2" w:tplc="041B001B" w:tentative="1">
      <w:start w:val="1"/>
      <w:numFmt w:val="lowerRoman"/>
      <w:lvlText w:val="%3."/>
      <w:lvlJc w:val="right"/>
      <w:pPr>
        <w:ind w:left="2618" w:hanging="180"/>
      </w:pPr>
    </w:lvl>
    <w:lvl w:ilvl="3" w:tplc="041B000F" w:tentative="1">
      <w:start w:val="1"/>
      <w:numFmt w:val="decimal"/>
      <w:lvlText w:val="%4."/>
      <w:lvlJc w:val="left"/>
      <w:pPr>
        <w:ind w:left="3338" w:hanging="360"/>
      </w:pPr>
    </w:lvl>
    <w:lvl w:ilvl="4" w:tplc="041B0019" w:tentative="1">
      <w:start w:val="1"/>
      <w:numFmt w:val="lowerLetter"/>
      <w:lvlText w:val="%5."/>
      <w:lvlJc w:val="left"/>
      <w:pPr>
        <w:ind w:left="4058" w:hanging="360"/>
      </w:pPr>
    </w:lvl>
    <w:lvl w:ilvl="5" w:tplc="041B001B" w:tentative="1">
      <w:start w:val="1"/>
      <w:numFmt w:val="lowerRoman"/>
      <w:lvlText w:val="%6."/>
      <w:lvlJc w:val="right"/>
      <w:pPr>
        <w:ind w:left="4778" w:hanging="180"/>
      </w:pPr>
    </w:lvl>
    <w:lvl w:ilvl="6" w:tplc="041B000F" w:tentative="1">
      <w:start w:val="1"/>
      <w:numFmt w:val="decimal"/>
      <w:lvlText w:val="%7."/>
      <w:lvlJc w:val="left"/>
      <w:pPr>
        <w:ind w:left="5498" w:hanging="360"/>
      </w:pPr>
    </w:lvl>
    <w:lvl w:ilvl="7" w:tplc="041B0019" w:tentative="1">
      <w:start w:val="1"/>
      <w:numFmt w:val="lowerLetter"/>
      <w:lvlText w:val="%8."/>
      <w:lvlJc w:val="left"/>
      <w:pPr>
        <w:ind w:left="6218" w:hanging="360"/>
      </w:pPr>
    </w:lvl>
    <w:lvl w:ilvl="8" w:tplc="041B001B" w:tentative="1">
      <w:start w:val="1"/>
      <w:numFmt w:val="lowerRoman"/>
      <w:lvlText w:val="%9."/>
      <w:lvlJc w:val="right"/>
      <w:pPr>
        <w:ind w:left="6938" w:hanging="180"/>
      </w:pPr>
    </w:lvl>
  </w:abstractNum>
  <w:abstractNum w:abstractNumId="17"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B1A3C02"/>
    <w:multiLevelType w:val="hybridMultilevel"/>
    <w:tmpl w:val="152C90FE"/>
    <w:lvl w:ilvl="0" w:tplc="CDBEAC6C">
      <w:numFmt w:val="bullet"/>
      <w:lvlText w:val="•"/>
      <w:lvlJc w:val="left"/>
      <w:pPr>
        <w:ind w:left="578" w:hanging="360"/>
      </w:pPr>
      <w:rPr>
        <w:rFonts w:ascii="Calibri" w:eastAsia="Times New Roman" w:hAnsi="Calibri" w:cstheme="minorHAnsi"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25"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6"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9AF246A"/>
    <w:multiLevelType w:val="hybridMultilevel"/>
    <w:tmpl w:val="62B8AA60"/>
    <w:lvl w:ilvl="0" w:tplc="041B0001">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B82FFB"/>
    <w:multiLevelType w:val="hybridMultilevel"/>
    <w:tmpl w:val="4460801E"/>
    <w:lvl w:ilvl="0" w:tplc="041B0001">
      <w:start w:val="1"/>
      <w:numFmt w:val="bullet"/>
      <w:lvlText w:val=""/>
      <w:lvlJc w:val="left"/>
      <w:pPr>
        <w:ind w:left="898" w:hanging="360"/>
      </w:pPr>
      <w:rPr>
        <w:rFonts w:ascii="Symbol" w:hAnsi="Symbol" w:hint="default"/>
      </w:rPr>
    </w:lvl>
    <w:lvl w:ilvl="1" w:tplc="041B0003" w:tentative="1">
      <w:start w:val="1"/>
      <w:numFmt w:val="bullet"/>
      <w:lvlText w:val="o"/>
      <w:lvlJc w:val="left"/>
      <w:pPr>
        <w:ind w:left="1618" w:hanging="360"/>
      </w:pPr>
      <w:rPr>
        <w:rFonts w:ascii="Courier New" w:hAnsi="Courier New" w:cs="Courier New" w:hint="default"/>
      </w:rPr>
    </w:lvl>
    <w:lvl w:ilvl="2" w:tplc="041B0005" w:tentative="1">
      <w:start w:val="1"/>
      <w:numFmt w:val="bullet"/>
      <w:lvlText w:val=""/>
      <w:lvlJc w:val="left"/>
      <w:pPr>
        <w:ind w:left="2338" w:hanging="360"/>
      </w:pPr>
      <w:rPr>
        <w:rFonts w:ascii="Wingdings" w:hAnsi="Wingdings" w:hint="default"/>
      </w:rPr>
    </w:lvl>
    <w:lvl w:ilvl="3" w:tplc="041B0001" w:tentative="1">
      <w:start w:val="1"/>
      <w:numFmt w:val="bullet"/>
      <w:lvlText w:val=""/>
      <w:lvlJc w:val="left"/>
      <w:pPr>
        <w:ind w:left="3058" w:hanging="360"/>
      </w:pPr>
      <w:rPr>
        <w:rFonts w:ascii="Symbol" w:hAnsi="Symbol" w:hint="default"/>
      </w:rPr>
    </w:lvl>
    <w:lvl w:ilvl="4" w:tplc="041B0003" w:tentative="1">
      <w:start w:val="1"/>
      <w:numFmt w:val="bullet"/>
      <w:lvlText w:val="o"/>
      <w:lvlJc w:val="left"/>
      <w:pPr>
        <w:ind w:left="3778" w:hanging="360"/>
      </w:pPr>
      <w:rPr>
        <w:rFonts w:ascii="Courier New" w:hAnsi="Courier New" w:cs="Courier New" w:hint="default"/>
      </w:rPr>
    </w:lvl>
    <w:lvl w:ilvl="5" w:tplc="041B0005" w:tentative="1">
      <w:start w:val="1"/>
      <w:numFmt w:val="bullet"/>
      <w:lvlText w:val=""/>
      <w:lvlJc w:val="left"/>
      <w:pPr>
        <w:ind w:left="4498" w:hanging="360"/>
      </w:pPr>
      <w:rPr>
        <w:rFonts w:ascii="Wingdings" w:hAnsi="Wingdings" w:hint="default"/>
      </w:rPr>
    </w:lvl>
    <w:lvl w:ilvl="6" w:tplc="041B0001" w:tentative="1">
      <w:start w:val="1"/>
      <w:numFmt w:val="bullet"/>
      <w:lvlText w:val=""/>
      <w:lvlJc w:val="left"/>
      <w:pPr>
        <w:ind w:left="5218" w:hanging="360"/>
      </w:pPr>
      <w:rPr>
        <w:rFonts w:ascii="Symbol" w:hAnsi="Symbol" w:hint="default"/>
      </w:rPr>
    </w:lvl>
    <w:lvl w:ilvl="7" w:tplc="041B0003" w:tentative="1">
      <w:start w:val="1"/>
      <w:numFmt w:val="bullet"/>
      <w:lvlText w:val="o"/>
      <w:lvlJc w:val="left"/>
      <w:pPr>
        <w:ind w:left="5938" w:hanging="360"/>
      </w:pPr>
      <w:rPr>
        <w:rFonts w:ascii="Courier New" w:hAnsi="Courier New" w:cs="Courier New" w:hint="default"/>
      </w:rPr>
    </w:lvl>
    <w:lvl w:ilvl="8" w:tplc="041B0005" w:tentative="1">
      <w:start w:val="1"/>
      <w:numFmt w:val="bullet"/>
      <w:lvlText w:val=""/>
      <w:lvlJc w:val="left"/>
      <w:pPr>
        <w:ind w:left="6658" w:hanging="360"/>
      </w:pPr>
      <w:rPr>
        <w:rFonts w:ascii="Wingdings" w:hAnsi="Wingdings" w:hint="default"/>
      </w:rPr>
    </w:lvl>
  </w:abstractNum>
  <w:abstractNum w:abstractNumId="41"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8" w15:restartNumberingAfterBreak="0">
    <w:nsid w:val="5C7D678E"/>
    <w:multiLevelType w:val="hybridMultilevel"/>
    <w:tmpl w:val="75B03C3E"/>
    <w:lvl w:ilvl="0" w:tplc="119E49D8">
      <w:start w:val="1"/>
      <w:numFmt w:val="lowerLetter"/>
      <w:lvlText w:val="%1)"/>
      <w:lvlJc w:val="left"/>
      <w:pPr>
        <w:ind w:left="1178" w:hanging="360"/>
      </w:pPr>
    </w:lvl>
    <w:lvl w:ilvl="1" w:tplc="041B0019" w:tentative="1">
      <w:start w:val="1"/>
      <w:numFmt w:val="lowerLetter"/>
      <w:lvlText w:val="%2."/>
      <w:lvlJc w:val="left"/>
      <w:pPr>
        <w:ind w:left="1898" w:hanging="360"/>
      </w:pPr>
    </w:lvl>
    <w:lvl w:ilvl="2" w:tplc="041B001B" w:tentative="1">
      <w:start w:val="1"/>
      <w:numFmt w:val="lowerRoman"/>
      <w:lvlText w:val="%3."/>
      <w:lvlJc w:val="right"/>
      <w:pPr>
        <w:ind w:left="2618" w:hanging="180"/>
      </w:pPr>
    </w:lvl>
    <w:lvl w:ilvl="3" w:tplc="041B000F" w:tentative="1">
      <w:start w:val="1"/>
      <w:numFmt w:val="decimal"/>
      <w:lvlText w:val="%4."/>
      <w:lvlJc w:val="left"/>
      <w:pPr>
        <w:ind w:left="3338" w:hanging="360"/>
      </w:pPr>
    </w:lvl>
    <w:lvl w:ilvl="4" w:tplc="041B0019" w:tentative="1">
      <w:start w:val="1"/>
      <w:numFmt w:val="lowerLetter"/>
      <w:lvlText w:val="%5."/>
      <w:lvlJc w:val="left"/>
      <w:pPr>
        <w:ind w:left="4058" w:hanging="360"/>
      </w:pPr>
    </w:lvl>
    <w:lvl w:ilvl="5" w:tplc="041B001B" w:tentative="1">
      <w:start w:val="1"/>
      <w:numFmt w:val="lowerRoman"/>
      <w:lvlText w:val="%6."/>
      <w:lvlJc w:val="right"/>
      <w:pPr>
        <w:ind w:left="4778" w:hanging="180"/>
      </w:pPr>
    </w:lvl>
    <w:lvl w:ilvl="6" w:tplc="041B000F" w:tentative="1">
      <w:start w:val="1"/>
      <w:numFmt w:val="decimal"/>
      <w:lvlText w:val="%7."/>
      <w:lvlJc w:val="left"/>
      <w:pPr>
        <w:ind w:left="5498" w:hanging="360"/>
      </w:pPr>
    </w:lvl>
    <w:lvl w:ilvl="7" w:tplc="041B0019" w:tentative="1">
      <w:start w:val="1"/>
      <w:numFmt w:val="lowerLetter"/>
      <w:lvlText w:val="%8."/>
      <w:lvlJc w:val="left"/>
      <w:pPr>
        <w:ind w:left="6218" w:hanging="360"/>
      </w:pPr>
    </w:lvl>
    <w:lvl w:ilvl="8" w:tplc="041B001B" w:tentative="1">
      <w:start w:val="1"/>
      <w:numFmt w:val="lowerRoman"/>
      <w:lvlText w:val="%9."/>
      <w:lvlJc w:val="right"/>
      <w:pPr>
        <w:ind w:left="6938" w:hanging="180"/>
      </w:pPr>
    </w:lvl>
  </w:abstractNum>
  <w:abstractNum w:abstractNumId="49"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1"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2" w15:restartNumberingAfterBreak="0">
    <w:nsid w:val="65DA2B37"/>
    <w:multiLevelType w:val="hybridMultilevel"/>
    <w:tmpl w:val="CE5E8FFA"/>
    <w:lvl w:ilvl="0" w:tplc="02CA6F5C">
      <w:numFmt w:val="bullet"/>
      <w:lvlText w:val="•"/>
      <w:lvlJc w:val="left"/>
      <w:pPr>
        <w:ind w:left="720" w:hanging="360"/>
      </w:pPr>
      <w:rPr>
        <w:rFonts w:ascii="Times New Roman" w:eastAsia="Times New Roman" w:hAnsi="Times New Roman" w:cs="Times New Roman" w:hint="default"/>
        <w:color w:val="auto"/>
        <w:sz w:val="24"/>
        <w:szCs w:val="24"/>
      </w:rPr>
    </w:lvl>
    <w:lvl w:ilvl="1" w:tplc="0144DC42">
      <w:numFmt w:val="bullet"/>
      <w:lvlText w:val="-"/>
      <w:lvlJc w:val="left"/>
      <w:pPr>
        <w:ind w:left="1440" w:hanging="360"/>
      </w:pPr>
      <w:rPr>
        <w:rFonts w:ascii="Calibri" w:eastAsia="Times New Roman" w:hAnsi="Calibri" w:cs="Calibri"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3"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5"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6ACA263C"/>
    <w:multiLevelType w:val="hybridMultilevel"/>
    <w:tmpl w:val="4A783292"/>
    <w:lvl w:ilvl="0" w:tplc="574ED93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63"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4"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6"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8"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9"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044745425">
    <w:abstractNumId w:val="49"/>
  </w:num>
  <w:num w:numId="2" w16cid:durableId="1302004283">
    <w:abstractNumId w:val="63"/>
  </w:num>
  <w:num w:numId="3" w16cid:durableId="892304329">
    <w:abstractNumId w:val="27"/>
  </w:num>
  <w:num w:numId="4" w16cid:durableId="2122607758">
    <w:abstractNumId w:val="35"/>
  </w:num>
  <w:num w:numId="5" w16cid:durableId="1422525333">
    <w:abstractNumId w:val="69"/>
  </w:num>
  <w:num w:numId="6" w16cid:durableId="305279548">
    <w:abstractNumId w:val="0"/>
  </w:num>
  <w:num w:numId="7" w16cid:durableId="2124376027">
    <w:abstractNumId w:val="15"/>
  </w:num>
  <w:num w:numId="8" w16cid:durableId="735543254">
    <w:abstractNumId w:val="59"/>
  </w:num>
  <w:num w:numId="9" w16cid:durableId="1301110670">
    <w:abstractNumId w:val="20"/>
  </w:num>
  <w:num w:numId="10" w16cid:durableId="468792133">
    <w:abstractNumId w:val="5"/>
  </w:num>
  <w:num w:numId="11" w16cid:durableId="1363507875">
    <w:abstractNumId w:val="23"/>
  </w:num>
  <w:num w:numId="12" w16cid:durableId="1846431074">
    <w:abstractNumId w:val="25"/>
  </w:num>
  <w:num w:numId="13" w16cid:durableId="275135760">
    <w:abstractNumId w:val="6"/>
  </w:num>
  <w:num w:numId="14" w16cid:durableId="1221942494">
    <w:abstractNumId w:val="11"/>
  </w:num>
  <w:num w:numId="15" w16cid:durableId="719324811">
    <w:abstractNumId w:val="60"/>
  </w:num>
  <w:num w:numId="16" w16cid:durableId="1103527381">
    <w:abstractNumId w:val="1"/>
  </w:num>
  <w:num w:numId="17" w16cid:durableId="673804287">
    <w:abstractNumId w:val="67"/>
  </w:num>
  <w:num w:numId="18" w16cid:durableId="1830439295">
    <w:abstractNumId w:val="28"/>
  </w:num>
  <w:num w:numId="19" w16cid:durableId="1374379666">
    <w:abstractNumId w:val="45"/>
  </w:num>
  <w:num w:numId="20" w16cid:durableId="278293652">
    <w:abstractNumId w:val="61"/>
  </w:num>
  <w:num w:numId="21" w16cid:durableId="1152716810">
    <w:abstractNumId w:val="54"/>
  </w:num>
  <w:num w:numId="22" w16cid:durableId="601449613">
    <w:abstractNumId w:val="46"/>
  </w:num>
  <w:num w:numId="23" w16cid:durableId="1925803142">
    <w:abstractNumId w:val="7"/>
  </w:num>
  <w:num w:numId="24" w16cid:durableId="294140576">
    <w:abstractNumId w:val="38"/>
  </w:num>
  <w:num w:numId="25" w16cid:durableId="150296141">
    <w:abstractNumId w:val="47"/>
  </w:num>
  <w:num w:numId="26" w16cid:durableId="560365513">
    <w:abstractNumId w:val="50"/>
  </w:num>
  <w:num w:numId="27" w16cid:durableId="235013230">
    <w:abstractNumId w:val="68"/>
  </w:num>
  <w:num w:numId="28" w16cid:durableId="1367758251">
    <w:abstractNumId w:val="19"/>
  </w:num>
  <w:num w:numId="29" w16cid:durableId="2093432359">
    <w:abstractNumId w:val="14"/>
  </w:num>
  <w:num w:numId="30" w16cid:durableId="1027098289">
    <w:abstractNumId w:val="34"/>
  </w:num>
  <w:num w:numId="31" w16cid:durableId="1239171365">
    <w:abstractNumId w:val="8"/>
  </w:num>
  <w:num w:numId="32" w16cid:durableId="285351418">
    <w:abstractNumId w:val="12"/>
  </w:num>
  <w:num w:numId="33" w16cid:durableId="391080462">
    <w:abstractNumId w:val="21"/>
  </w:num>
  <w:num w:numId="34" w16cid:durableId="490683414">
    <w:abstractNumId w:val="4"/>
  </w:num>
  <w:num w:numId="35" w16cid:durableId="988745983">
    <w:abstractNumId w:val="56"/>
  </w:num>
  <w:num w:numId="36" w16cid:durableId="1077633951">
    <w:abstractNumId w:val="58"/>
  </w:num>
  <w:num w:numId="37" w16cid:durableId="2106656032">
    <w:abstractNumId w:val="64"/>
  </w:num>
  <w:num w:numId="38" w16cid:durableId="465515785">
    <w:abstractNumId w:val="53"/>
  </w:num>
  <w:num w:numId="39" w16cid:durableId="2095856266">
    <w:abstractNumId w:val="42"/>
  </w:num>
  <w:num w:numId="40" w16cid:durableId="1292709952">
    <w:abstractNumId w:val="43"/>
  </w:num>
  <w:num w:numId="41" w16cid:durableId="1887258916">
    <w:abstractNumId w:val="2"/>
  </w:num>
  <w:num w:numId="42" w16cid:durableId="1585648294">
    <w:abstractNumId w:val="18"/>
  </w:num>
  <w:num w:numId="43" w16cid:durableId="686449890">
    <w:abstractNumId w:val="29"/>
  </w:num>
  <w:num w:numId="44" w16cid:durableId="249975210">
    <w:abstractNumId w:val="55"/>
  </w:num>
  <w:num w:numId="45" w16cid:durableId="1669407102">
    <w:abstractNumId w:val="36"/>
  </w:num>
  <w:num w:numId="46" w16cid:durableId="2436201">
    <w:abstractNumId w:val="51"/>
  </w:num>
  <w:num w:numId="47" w16cid:durableId="718013268">
    <w:abstractNumId w:val="41"/>
  </w:num>
  <w:num w:numId="48" w16cid:durableId="1414014732">
    <w:abstractNumId w:val="44"/>
  </w:num>
  <w:num w:numId="49" w16cid:durableId="83697385">
    <w:abstractNumId w:val="22"/>
  </w:num>
  <w:num w:numId="50" w16cid:durableId="1125924375">
    <w:abstractNumId w:val="66"/>
  </w:num>
  <w:num w:numId="51" w16cid:durableId="1420565437">
    <w:abstractNumId w:val="65"/>
  </w:num>
  <w:num w:numId="52" w16cid:durableId="1175611973">
    <w:abstractNumId w:val="37"/>
  </w:num>
  <w:num w:numId="53" w16cid:durableId="1620800099">
    <w:abstractNumId w:val="31"/>
  </w:num>
  <w:num w:numId="54" w16cid:durableId="1033575281">
    <w:abstractNumId w:val="3"/>
  </w:num>
  <w:num w:numId="55" w16cid:durableId="2053260291">
    <w:abstractNumId w:val="17"/>
  </w:num>
  <w:num w:numId="56" w16cid:durableId="786509983">
    <w:abstractNumId w:val="9"/>
  </w:num>
  <w:num w:numId="57" w16cid:durableId="1162158286">
    <w:abstractNumId w:val="33"/>
  </w:num>
  <w:num w:numId="58" w16cid:durableId="2249609">
    <w:abstractNumId w:val="62"/>
  </w:num>
  <w:num w:numId="59" w16cid:durableId="509176357">
    <w:abstractNumId w:val="39"/>
  </w:num>
  <w:num w:numId="60" w16cid:durableId="315573696">
    <w:abstractNumId w:val="26"/>
  </w:num>
  <w:num w:numId="61" w16cid:durableId="2056074678">
    <w:abstractNumId w:val="32"/>
  </w:num>
  <w:num w:numId="62" w16cid:durableId="1115562013">
    <w:abstractNumId w:val="13"/>
  </w:num>
  <w:num w:numId="63" w16cid:durableId="236676939">
    <w:abstractNumId w:val="57"/>
  </w:num>
  <w:num w:numId="64" w16cid:durableId="414861541">
    <w:abstractNumId w:val="52"/>
  </w:num>
  <w:num w:numId="65" w16cid:durableId="367150065">
    <w:abstractNumId w:val="24"/>
  </w:num>
  <w:num w:numId="66" w16cid:durableId="614288818">
    <w:abstractNumId w:val="16"/>
  </w:num>
  <w:num w:numId="67" w16cid:durableId="1513495380">
    <w:abstractNumId w:val="40"/>
  </w:num>
  <w:num w:numId="68" w16cid:durableId="384180020">
    <w:abstractNumId w:val="48"/>
  </w:num>
  <w:num w:numId="69" w16cid:durableId="1453205638">
    <w:abstractNumId w:val="30"/>
  </w:num>
  <w:num w:numId="70" w16cid:durableId="1408961372">
    <w:abstractNumId w:val="1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07F4"/>
    <w:rsid w:val="00016DEA"/>
    <w:rsid w:val="000569D6"/>
    <w:rsid w:val="00066F24"/>
    <w:rsid w:val="00075EF7"/>
    <w:rsid w:val="00081FA8"/>
    <w:rsid w:val="0008289A"/>
    <w:rsid w:val="000856E1"/>
    <w:rsid w:val="00085796"/>
    <w:rsid w:val="000D532B"/>
    <w:rsid w:val="000E1177"/>
    <w:rsid w:val="000E6FF9"/>
    <w:rsid w:val="000F55AF"/>
    <w:rsid w:val="00116361"/>
    <w:rsid w:val="0014423A"/>
    <w:rsid w:val="00182D10"/>
    <w:rsid w:val="00183589"/>
    <w:rsid w:val="001B66D2"/>
    <w:rsid w:val="001B7788"/>
    <w:rsid w:val="001C2252"/>
    <w:rsid w:val="002107A0"/>
    <w:rsid w:val="00220A21"/>
    <w:rsid w:val="002347A2"/>
    <w:rsid w:val="00236E5C"/>
    <w:rsid w:val="002450BA"/>
    <w:rsid w:val="00247F40"/>
    <w:rsid w:val="00253953"/>
    <w:rsid w:val="00257130"/>
    <w:rsid w:val="002F2FFF"/>
    <w:rsid w:val="003357FD"/>
    <w:rsid w:val="00364BAA"/>
    <w:rsid w:val="00374B3F"/>
    <w:rsid w:val="00377989"/>
    <w:rsid w:val="00392626"/>
    <w:rsid w:val="003C138C"/>
    <w:rsid w:val="003C1560"/>
    <w:rsid w:val="003D284E"/>
    <w:rsid w:val="003E6697"/>
    <w:rsid w:val="003F1701"/>
    <w:rsid w:val="00402F5D"/>
    <w:rsid w:val="00406D0B"/>
    <w:rsid w:val="004461E5"/>
    <w:rsid w:val="00481344"/>
    <w:rsid w:val="00493EDA"/>
    <w:rsid w:val="004C09DA"/>
    <w:rsid w:val="004F0036"/>
    <w:rsid w:val="004F7821"/>
    <w:rsid w:val="00535638"/>
    <w:rsid w:val="00543C90"/>
    <w:rsid w:val="00556E68"/>
    <w:rsid w:val="00595B92"/>
    <w:rsid w:val="005C1AA6"/>
    <w:rsid w:val="005C2B82"/>
    <w:rsid w:val="005F4AB0"/>
    <w:rsid w:val="00642032"/>
    <w:rsid w:val="00643184"/>
    <w:rsid w:val="00661A23"/>
    <w:rsid w:val="0066233F"/>
    <w:rsid w:val="0067723E"/>
    <w:rsid w:val="00686015"/>
    <w:rsid w:val="0068722F"/>
    <w:rsid w:val="00687273"/>
    <w:rsid w:val="00696061"/>
    <w:rsid w:val="006A048B"/>
    <w:rsid w:val="006A27D3"/>
    <w:rsid w:val="006C179F"/>
    <w:rsid w:val="006D0AAF"/>
    <w:rsid w:val="00733FAA"/>
    <w:rsid w:val="007418F9"/>
    <w:rsid w:val="00745DF0"/>
    <w:rsid w:val="00754D3C"/>
    <w:rsid w:val="00757FDD"/>
    <w:rsid w:val="0076028D"/>
    <w:rsid w:val="00774C45"/>
    <w:rsid w:val="007E01E5"/>
    <w:rsid w:val="007F11EB"/>
    <w:rsid w:val="00802379"/>
    <w:rsid w:val="00843399"/>
    <w:rsid w:val="008644F8"/>
    <w:rsid w:val="00882C9E"/>
    <w:rsid w:val="00884D8F"/>
    <w:rsid w:val="008E0B5E"/>
    <w:rsid w:val="00905190"/>
    <w:rsid w:val="00926FB2"/>
    <w:rsid w:val="00946FAA"/>
    <w:rsid w:val="00997F82"/>
    <w:rsid w:val="009A09B1"/>
    <w:rsid w:val="009A65F5"/>
    <w:rsid w:val="009B47E3"/>
    <w:rsid w:val="009D7935"/>
    <w:rsid w:val="009F1ACB"/>
    <w:rsid w:val="00A064B8"/>
    <w:rsid w:val="00A55D6C"/>
    <w:rsid w:val="00A57C24"/>
    <w:rsid w:val="00A90A85"/>
    <w:rsid w:val="00A93302"/>
    <w:rsid w:val="00AB07F9"/>
    <w:rsid w:val="00AC49CC"/>
    <w:rsid w:val="00AD7FDE"/>
    <w:rsid w:val="00B43B53"/>
    <w:rsid w:val="00B673F2"/>
    <w:rsid w:val="00B8659A"/>
    <w:rsid w:val="00BB0AA8"/>
    <w:rsid w:val="00BD175D"/>
    <w:rsid w:val="00BE57E3"/>
    <w:rsid w:val="00C04A44"/>
    <w:rsid w:val="00C473E6"/>
    <w:rsid w:val="00C64944"/>
    <w:rsid w:val="00C700E8"/>
    <w:rsid w:val="00C71335"/>
    <w:rsid w:val="00C72A19"/>
    <w:rsid w:val="00C82EAA"/>
    <w:rsid w:val="00CA18C8"/>
    <w:rsid w:val="00CC2188"/>
    <w:rsid w:val="00CD41E7"/>
    <w:rsid w:val="00CD453C"/>
    <w:rsid w:val="00CD5AD8"/>
    <w:rsid w:val="00CF21D0"/>
    <w:rsid w:val="00D13D2D"/>
    <w:rsid w:val="00D835D8"/>
    <w:rsid w:val="00DD26C9"/>
    <w:rsid w:val="00DD3EE2"/>
    <w:rsid w:val="00DF0742"/>
    <w:rsid w:val="00E0368D"/>
    <w:rsid w:val="00E101C8"/>
    <w:rsid w:val="00E470D8"/>
    <w:rsid w:val="00E537E5"/>
    <w:rsid w:val="00E60334"/>
    <w:rsid w:val="00E7054B"/>
    <w:rsid w:val="00EB65C0"/>
    <w:rsid w:val="00EC77B9"/>
    <w:rsid w:val="00EE0748"/>
    <w:rsid w:val="00F10680"/>
    <w:rsid w:val="00F23F27"/>
    <w:rsid w:val="00F332E0"/>
    <w:rsid w:val="00F34153"/>
    <w:rsid w:val="00F413B2"/>
    <w:rsid w:val="00F61F89"/>
    <w:rsid w:val="00FB0591"/>
    <w:rsid w:val="00FB4919"/>
    <w:rsid w:val="00FB5B07"/>
    <w:rsid w:val="00FB755C"/>
    <w:rsid w:val="00FD77BF"/>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List Paragraph,Odstavec se seznamem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List Paragraph Char,Odstavec se seznamem1 Char"/>
    <w:basedOn w:val="Predvolenpsmoodseku"/>
    <w:link w:val="Odsekzoznamu"/>
    <w:uiPriority w:val="34"/>
    <w:qFormat/>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247F40"/>
    <w:rPr>
      <w:color w:val="605E5C"/>
      <w:shd w:val="clear" w:color="auto" w:fill="E1DFDD"/>
    </w:rPr>
  </w:style>
  <w:style w:type="table" w:customStyle="1" w:styleId="Deloittetable21">
    <w:name w:val="Deloitte table 21"/>
    <w:basedOn w:val="Normlnatabuka"/>
    <w:rsid w:val="00402F5D"/>
    <w:pPr>
      <w:spacing w:after="0" w:line="240" w:lineRule="auto"/>
    </w:pPr>
    <w:rPr>
      <w:rFonts w:ascii="Arial" w:eastAsia="Times New Roman" w:hAnsi="Arial" w:cs="Times New Roman"/>
      <w:sz w:val="19"/>
      <w:szCs w:val="20"/>
      <w:lang w:val="en-US"/>
    </w:rPr>
    <w:tblPr>
      <w:tblInd w:w="0" w:type="nil"/>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cs="Arial" w:hint="default"/>
        <w:b/>
        <w:color w:val="FFFFFF"/>
        <w:sz w:val="19"/>
        <w:szCs w:val="19"/>
      </w:rPr>
      <w:tblPr/>
      <w:tcPr>
        <w:shd w:val="clear" w:color="auto" w:fill="00A1D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91213">
      <w:bodyDiv w:val="1"/>
      <w:marLeft w:val="0"/>
      <w:marRight w:val="0"/>
      <w:marTop w:val="0"/>
      <w:marBottom w:val="0"/>
      <w:divBdr>
        <w:top w:val="none" w:sz="0" w:space="0" w:color="auto"/>
        <w:left w:val="none" w:sz="0" w:space="0" w:color="auto"/>
        <w:bottom w:val="none" w:sz="0" w:space="0" w:color="auto"/>
        <w:right w:val="none" w:sz="0" w:space="0" w:color="auto"/>
      </w:divBdr>
    </w:div>
    <w:div w:id="213085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z.gov.s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rri.gov.sk/mpsr/irop-programove-obdobie-2014-2020/clld/programove-dokumenty/statna-pomoc/index.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psr.sk/download.php?fID=16317"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mirri.gov.sk/mpsr/irop-programove-obdobie-2014-2020/clld/programove-dokumenty/prirucka-k-procesu-verejneho-obstaravania/index.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E2AB8"/>
    <w:rsid w:val="00202756"/>
    <w:rsid w:val="00203086"/>
    <w:rsid w:val="002A494A"/>
    <w:rsid w:val="00301556"/>
    <w:rsid w:val="00385C7D"/>
    <w:rsid w:val="004A0F64"/>
    <w:rsid w:val="00676B52"/>
    <w:rsid w:val="00702039"/>
    <w:rsid w:val="008C6E5C"/>
    <w:rsid w:val="009421D5"/>
    <w:rsid w:val="00A30B05"/>
    <w:rsid w:val="00B0488C"/>
    <w:rsid w:val="00B05E4E"/>
    <w:rsid w:val="00B7085E"/>
    <w:rsid w:val="00B973B3"/>
    <w:rsid w:val="00D042C4"/>
    <w:rsid w:val="00D529B4"/>
    <w:rsid w:val="00D7292C"/>
    <w:rsid w:val="00DD0724"/>
    <w:rsid w:val="00ED0504"/>
    <w:rsid w:val="00EE2FA0"/>
    <w:rsid w:val="00F815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615B8-6743-42EA-AF06-F06A4DD16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4263</Words>
  <Characters>24303</Characters>
  <Application>Microsoft Office Word</Application>
  <DocSecurity>0</DocSecurity>
  <Lines>202</Lines>
  <Paragraphs>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2020-08-18T13:10:00Z</dcterms:created>
  <dcterms:modified xsi:type="dcterms:W3CDTF">2023-01-17T22:19:00Z</dcterms:modified>
</cp:coreProperties>
</file>